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78EA7">
      <w:pPr>
        <w:pStyle w:val="2"/>
        <w:spacing w:before="12"/>
        <w:jc w:val="center"/>
        <w:rPr>
          <w:sz w:val="28"/>
          <w:szCs w:val="28"/>
          <w:lang w:eastAsia="zh-CN"/>
        </w:rPr>
      </w:pPr>
      <w:r>
        <w:rPr>
          <w:rFonts w:hint="eastAsia" w:ascii="仿宋" w:hAnsi="仿宋" w:eastAsia="仿宋"/>
          <w:b/>
          <w:bCs/>
          <w:color w:val="000000"/>
          <w:sz w:val="36"/>
          <w:szCs w:val="36"/>
          <w:lang w:eastAsia="zh-CN"/>
        </w:rPr>
        <w:t>长丰县人民医院穿戴式长程动态心电监测系统及配套耗材采购报价单</w:t>
      </w:r>
    </w:p>
    <w:tbl>
      <w:tblPr>
        <w:tblStyle w:val="6"/>
        <w:tblW w:w="14055" w:type="dxa"/>
        <w:tblInd w:w="-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970"/>
        <w:gridCol w:w="1694"/>
        <w:gridCol w:w="1636"/>
        <w:gridCol w:w="2955"/>
        <w:gridCol w:w="1620"/>
        <w:gridCol w:w="1005"/>
        <w:gridCol w:w="2175"/>
      </w:tblGrid>
      <w:tr w14:paraId="5B6D2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9" w:hRule="atLeast"/>
        </w:trPr>
        <w:tc>
          <w:tcPr>
            <w:tcW w:w="29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8A9D29">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报价单位</w:t>
            </w:r>
          </w:p>
        </w:tc>
        <w:tc>
          <w:tcPr>
            <w:tcW w:w="11085"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6CF2DD43">
            <w:pPr>
              <w:jc w:val="center"/>
              <w:rPr>
                <w:rFonts w:hint="eastAsia" w:ascii="宋体" w:hAnsi="宋体" w:eastAsia="宋体" w:cs="宋体"/>
                <w:i w:val="0"/>
                <w:iCs w:val="0"/>
                <w:color w:val="000000"/>
                <w:sz w:val="28"/>
                <w:szCs w:val="28"/>
                <w:u w:val="none"/>
              </w:rPr>
            </w:pPr>
          </w:p>
        </w:tc>
      </w:tr>
      <w:tr w14:paraId="5EEF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29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59A96F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名称</w:t>
            </w:r>
          </w:p>
        </w:tc>
        <w:tc>
          <w:tcPr>
            <w:tcW w:w="1694" w:type="dxa"/>
            <w:tcBorders>
              <w:top w:val="nil"/>
              <w:left w:val="nil"/>
              <w:bottom w:val="single" w:color="000000" w:sz="8" w:space="0"/>
              <w:right w:val="single" w:color="000000" w:sz="8" w:space="0"/>
            </w:tcBorders>
            <w:shd w:val="clear" w:color="auto" w:fill="auto"/>
            <w:vAlign w:val="center"/>
          </w:tcPr>
          <w:p w14:paraId="57E521B3">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规格型号</w:t>
            </w:r>
          </w:p>
        </w:tc>
        <w:tc>
          <w:tcPr>
            <w:tcW w:w="1636" w:type="dxa"/>
            <w:tcBorders>
              <w:top w:val="single" w:color="000000" w:sz="8" w:space="0"/>
              <w:left w:val="nil"/>
              <w:bottom w:val="single" w:color="000000" w:sz="8" w:space="0"/>
              <w:right w:val="single" w:color="000000" w:sz="8" w:space="0"/>
            </w:tcBorders>
            <w:shd w:val="clear" w:color="auto" w:fill="auto"/>
            <w:vAlign w:val="center"/>
          </w:tcPr>
          <w:p w14:paraId="2BE764BD">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生产厂家</w:t>
            </w:r>
          </w:p>
        </w:tc>
        <w:tc>
          <w:tcPr>
            <w:tcW w:w="2955" w:type="dxa"/>
            <w:tcBorders>
              <w:top w:val="single" w:color="000000" w:sz="8" w:space="0"/>
              <w:left w:val="nil"/>
              <w:bottom w:val="single" w:color="000000" w:sz="8" w:space="0"/>
              <w:right w:val="nil"/>
            </w:tcBorders>
            <w:shd w:val="clear" w:color="auto" w:fill="auto"/>
            <w:vAlign w:val="center"/>
          </w:tcPr>
          <w:p w14:paraId="38B4455B">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注册证号</w:t>
            </w:r>
          </w:p>
        </w:tc>
        <w:tc>
          <w:tcPr>
            <w:tcW w:w="16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4FD2A18">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单价（元）</w:t>
            </w:r>
          </w:p>
        </w:tc>
        <w:tc>
          <w:tcPr>
            <w:tcW w:w="1005" w:type="dxa"/>
            <w:tcBorders>
              <w:top w:val="single" w:color="000000" w:sz="8" w:space="0"/>
              <w:left w:val="nil"/>
              <w:bottom w:val="single" w:color="000000" w:sz="8" w:space="0"/>
              <w:right w:val="single" w:color="000000" w:sz="8" w:space="0"/>
            </w:tcBorders>
            <w:shd w:val="clear" w:color="auto" w:fill="auto"/>
            <w:vAlign w:val="center"/>
          </w:tcPr>
          <w:p w14:paraId="2BC635E2">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数量</w:t>
            </w:r>
          </w:p>
        </w:tc>
        <w:tc>
          <w:tcPr>
            <w:tcW w:w="2175" w:type="dxa"/>
            <w:tcBorders>
              <w:top w:val="single" w:color="000000" w:sz="8" w:space="0"/>
              <w:left w:val="nil"/>
              <w:bottom w:val="single" w:color="000000" w:sz="8" w:space="0"/>
              <w:right w:val="single" w:color="000000" w:sz="8" w:space="0"/>
            </w:tcBorders>
            <w:shd w:val="clear" w:color="auto" w:fill="auto"/>
            <w:vAlign w:val="center"/>
          </w:tcPr>
          <w:p w14:paraId="2BFC1546">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总价</w:t>
            </w:r>
          </w:p>
        </w:tc>
      </w:tr>
      <w:tr w14:paraId="639B2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970" w:type="dxa"/>
            <w:tcBorders>
              <w:top w:val="nil"/>
              <w:left w:val="single" w:color="000000" w:sz="8" w:space="0"/>
              <w:bottom w:val="single" w:color="000000" w:sz="8" w:space="0"/>
              <w:right w:val="single" w:color="000000" w:sz="8" w:space="0"/>
            </w:tcBorders>
            <w:shd w:val="clear" w:color="auto" w:fill="auto"/>
            <w:vAlign w:val="center"/>
          </w:tcPr>
          <w:p w14:paraId="2F9913F3">
            <w:pPr>
              <w:pStyle w:val="5"/>
              <w:spacing w:before="0" w:beforeAutospacing="0" w:after="0" w:afterAutospacing="0" w:line="560" w:lineRule="exact"/>
              <w:rPr>
                <w:rFonts w:hint="eastAsia" w:ascii="宋体" w:hAnsi="宋体" w:eastAsia="宋体" w:cs="宋体"/>
                <w:i w:val="0"/>
                <w:iCs w:val="0"/>
                <w:color w:val="000000"/>
                <w:sz w:val="28"/>
                <w:szCs w:val="28"/>
                <w:u w:val="none"/>
              </w:rPr>
            </w:pPr>
            <w:r>
              <w:rPr>
                <w:rFonts w:hint="eastAsia" w:ascii="仿宋" w:hAnsi="仿宋" w:eastAsia="仿宋"/>
                <w:sz w:val="30"/>
                <w:szCs w:val="30"/>
              </w:rPr>
              <w:t>穿戴式长程动态心电监测系统</w:t>
            </w:r>
          </w:p>
        </w:tc>
        <w:tc>
          <w:tcPr>
            <w:tcW w:w="1694" w:type="dxa"/>
            <w:tcBorders>
              <w:top w:val="nil"/>
              <w:left w:val="nil"/>
              <w:bottom w:val="single" w:color="000000" w:sz="8" w:space="0"/>
              <w:right w:val="single" w:color="000000" w:sz="8" w:space="0"/>
            </w:tcBorders>
            <w:shd w:val="clear" w:color="auto" w:fill="auto"/>
            <w:vAlign w:val="center"/>
          </w:tcPr>
          <w:p w14:paraId="5E9AFA29">
            <w:pPr>
              <w:jc w:val="center"/>
              <w:rPr>
                <w:rFonts w:hint="eastAsia" w:ascii="宋体" w:hAnsi="宋体" w:eastAsia="宋体" w:cs="宋体"/>
                <w:i w:val="0"/>
                <w:iCs w:val="0"/>
                <w:color w:val="000000"/>
                <w:sz w:val="28"/>
                <w:szCs w:val="28"/>
                <w:u w:val="none"/>
              </w:rPr>
            </w:pPr>
          </w:p>
        </w:tc>
        <w:tc>
          <w:tcPr>
            <w:tcW w:w="1636" w:type="dxa"/>
            <w:tcBorders>
              <w:top w:val="nil"/>
              <w:left w:val="nil"/>
              <w:bottom w:val="single" w:color="000000" w:sz="8" w:space="0"/>
              <w:right w:val="single" w:color="000000" w:sz="8" w:space="0"/>
            </w:tcBorders>
            <w:shd w:val="clear" w:color="auto" w:fill="auto"/>
            <w:vAlign w:val="center"/>
          </w:tcPr>
          <w:p w14:paraId="6B1C8E8F">
            <w:pPr>
              <w:jc w:val="center"/>
              <w:rPr>
                <w:rFonts w:hint="eastAsia" w:ascii="宋体" w:hAnsi="宋体" w:eastAsia="宋体" w:cs="宋体"/>
                <w:i w:val="0"/>
                <w:iCs w:val="0"/>
                <w:color w:val="000000"/>
                <w:sz w:val="28"/>
                <w:szCs w:val="28"/>
                <w:u w:val="none"/>
              </w:rPr>
            </w:pPr>
          </w:p>
        </w:tc>
        <w:tc>
          <w:tcPr>
            <w:tcW w:w="2955" w:type="dxa"/>
            <w:tcBorders>
              <w:top w:val="nil"/>
              <w:left w:val="nil"/>
              <w:bottom w:val="single" w:color="000000" w:sz="8" w:space="0"/>
              <w:right w:val="single" w:color="000000" w:sz="8" w:space="0"/>
            </w:tcBorders>
            <w:shd w:val="clear" w:color="auto" w:fill="auto"/>
            <w:vAlign w:val="center"/>
          </w:tcPr>
          <w:p w14:paraId="6CAE9285">
            <w:pPr>
              <w:jc w:val="center"/>
              <w:rPr>
                <w:rFonts w:hint="eastAsia" w:ascii="宋体" w:hAnsi="宋体" w:eastAsia="宋体" w:cs="宋体"/>
                <w:i w:val="0"/>
                <w:iCs w:val="0"/>
                <w:color w:val="000000"/>
                <w:sz w:val="28"/>
                <w:szCs w:val="28"/>
                <w:u w:val="none"/>
              </w:rPr>
            </w:pPr>
          </w:p>
        </w:tc>
        <w:tc>
          <w:tcPr>
            <w:tcW w:w="1620" w:type="dxa"/>
            <w:tcBorders>
              <w:top w:val="nil"/>
              <w:left w:val="nil"/>
              <w:bottom w:val="single" w:color="000000" w:sz="8" w:space="0"/>
              <w:right w:val="single" w:color="000000" w:sz="8" w:space="0"/>
            </w:tcBorders>
            <w:shd w:val="clear" w:color="auto" w:fill="auto"/>
            <w:vAlign w:val="center"/>
          </w:tcPr>
          <w:p w14:paraId="68BCA99A">
            <w:pPr>
              <w:jc w:val="center"/>
              <w:rPr>
                <w:rFonts w:hint="eastAsia" w:ascii="宋体" w:hAnsi="宋体" w:eastAsia="宋体" w:cs="宋体"/>
                <w:i w:val="0"/>
                <w:iCs w:val="0"/>
                <w:color w:val="000000"/>
                <w:sz w:val="28"/>
                <w:szCs w:val="28"/>
                <w:u w:val="none"/>
              </w:rPr>
            </w:pPr>
          </w:p>
        </w:tc>
        <w:tc>
          <w:tcPr>
            <w:tcW w:w="1005" w:type="dxa"/>
            <w:tcBorders>
              <w:top w:val="nil"/>
              <w:left w:val="nil"/>
              <w:bottom w:val="single" w:color="000000" w:sz="8" w:space="0"/>
              <w:right w:val="single" w:color="000000" w:sz="8" w:space="0"/>
            </w:tcBorders>
            <w:shd w:val="clear" w:color="auto" w:fill="auto"/>
            <w:vAlign w:val="center"/>
          </w:tcPr>
          <w:p w14:paraId="2CAA100C">
            <w:pPr>
              <w:jc w:val="center"/>
              <w:rPr>
                <w:rFonts w:hint="eastAsia" w:ascii="宋体" w:hAnsi="宋体" w:eastAsia="宋体" w:cs="宋体"/>
                <w:i w:val="0"/>
                <w:iCs w:val="0"/>
                <w:color w:val="000000"/>
                <w:sz w:val="28"/>
                <w:szCs w:val="28"/>
                <w:u w:val="none"/>
                <w:lang w:val="en-US" w:eastAsia="zh-CN"/>
              </w:rPr>
            </w:pPr>
            <w:r>
              <w:rPr>
                <w:rFonts w:hint="eastAsia" w:cs="宋体"/>
                <w:i w:val="0"/>
                <w:iCs w:val="0"/>
                <w:color w:val="000000"/>
                <w:sz w:val="28"/>
                <w:szCs w:val="28"/>
                <w:u w:val="none"/>
                <w:lang w:val="en-US" w:eastAsia="zh-CN"/>
              </w:rPr>
              <w:t>2</w:t>
            </w:r>
          </w:p>
        </w:tc>
        <w:tc>
          <w:tcPr>
            <w:tcW w:w="2175" w:type="dxa"/>
            <w:tcBorders>
              <w:top w:val="nil"/>
              <w:left w:val="nil"/>
              <w:bottom w:val="single" w:color="000000" w:sz="8" w:space="0"/>
              <w:right w:val="single" w:color="000000" w:sz="8" w:space="0"/>
            </w:tcBorders>
            <w:shd w:val="clear" w:color="auto" w:fill="auto"/>
            <w:vAlign w:val="center"/>
          </w:tcPr>
          <w:p w14:paraId="5F705F1B">
            <w:pPr>
              <w:jc w:val="center"/>
              <w:rPr>
                <w:rFonts w:hint="eastAsia" w:ascii="宋体" w:hAnsi="宋体" w:eastAsia="宋体" w:cs="宋体"/>
                <w:i w:val="0"/>
                <w:iCs w:val="0"/>
                <w:color w:val="000000"/>
                <w:sz w:val="28"/>
                <w:szCs w:val="28"/>
                <w:u w:val="none"/>
              </w:rPr>
            </w:pPr>
          </w:p>
        </w:tc>
      </w:tr>
      <w:tr w14:paraId="2AFE2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2970" w:type="dxa"/>
            <w:tcBorders>
              <w:top w:val="nil"/>
              <w:left w:val="single" w:color="000000" w:sz="8" w:space="0"/>
              <w:bottom w:val="single" w:color="000000" w:sz="8" w:space="0"/>
              <w:right w:val="single" w:color="000000" w:sz="8" w:space="0"/>
            </w:tcBorders>
            <w:shd w:val="clear" w:color="auto" w:fill="auto"/>
            <w:vAlign w:val="center"/>
          </w:tcPr>
          <w:p w14:paraId="4FC48944">
            <w:pPr>
              <w:pStyle w:val="5"/>
              <w:wordWrap w:val="0"/>
              <w:spacing w:before="0" w:beforeAutospacing="0" w:after="0" w:afterAutospacing="0" w:line="560" w:lineRule="exact"/>
              <w:rPr>
                <w:rFonts w:hint="eastAsia" w:ascii="宋体" w:hAnsi="宋体" w:eastAsia="宋体" w:cs="宋体"/>
                <w:i w:val="0"/>
                <w:iCs w:val="0"/>
                <w:color w:val="000000"/>
                <w:sz w:val="28"/>
                <w:szCs w:val="28"/>
                <w:u w:val="none"/>
              </w:rPr>
            </w:pPr>
            <w:r>
              <w:rPr>
                <w:rFonts w:hint="eastAsia" w:ascii="仿宋" w:hAnsi="仿宋" w:eastAsia="仿宋"/>
                <w:sz w:val="30"/>
                <w:szCs w:val="30"/>
              </w:rPr>
              <w:t>穿戴式心电传感器</w:t>
            </w:r>
            <w:r>
              <w:rPr>
                <w:rFonts w:ascii="仿宋" w:hAnsi="仿宋" w:eastAsia="仿宋"/>
                <w:sz w:val="30"/>
                <w:szCs w:val="30"/>
              </w:rPr>
              <w:t>(12导联)</w:t>
            </w:r>
          </w:p>
        </w:tc>
        <w:tc>
          <w:tcPr>
            <w:tcW w:w="1694" w:type="dxa"/>
            <w:tcBorders>
              <w:top w:val="nil"/>
              <w:left w:val="nil"/>
              <w:bottom w:val="single" w:color="000000" w:sz="8" w:space="0"/>
              <w:right w:val="single" w:color="000000" w:sz="8" w:space="0"/>
            </w:tcBorders>
            <w:shd w:val="clear" w:color="auto" w:fill="auto"/>
            <w:vAlign w:val="center"/>
          </w:tcPr>
          <w:p w14:paraId="4D868697">
            <w:pPr>
              <w:jc w:val="center"/>
              <w:rPr>
                <w:rFonts w:hint="eastAsia" w:ascii="宋体" w:hAnsi="宋体" w:eastAsia="宋体" w:cs="宋体"/>
                <w:i w:val="0"/>
                <w:iCs w:val="0"/>
                <w:color w:val="000000"/>
                <w:sz w:val="28"/>
                <w:szCs w:val="28"/>
                <w:u w:val="none"/>
              </w:rPr>
            </w:pPr>
          </w:p>
        </w:tc>
        <w:tc>
          <w:tcPr>
            <w:tcW w:w="1636" w:type="dxa"/>
            <w:tcBorders>
              <w:top w:val="nil"/>
              <w:left w:val="nil"/>
              <w:bottom w:val="single" w:color="000000" w:sz="8" w:space="0"/>
              <w:right w:val="single" w:color="000000" w:sz="8" w:space="0"/>
            </w:tcBorders>
            <w:shd w:val="clear" w:color="auto" w:fill="auto"/>
            <w:vAlign w:val="center"/>
          </w:tcPr>
          <w:p w14:paraId="097B77C2">
            <w:pPr>
              <w:jc w:val="center"/>
              <w:rPr>
                <w:rFonts w:hint="eastAsia" w:ascii="宋体" w:hAnsi="宋体" w:eastAsia="宋体" w:cs="宋体"/>
                <w:i w:val="0"/>
                <w:iCs w:val="0"/>
                <w:color w:val="000000"/>
                <w:sz w:val="28"/>
                <w:szCs w:val="28"/>
                <w:u w:val="none"/>
              </w:rPr>
            </w:pPr>
          </w:p>
        </w:tc>
        <w:tc>
          <w:tcPr>
            <w:tcW w:w="2955" w:type="dxa"/>
            <w:tcBorders>
              <w:top w:val="nil"/>
              <w:left w:val="nil"/>
              <w:bottom w:val="single" w:color="000000" w:sz="8" w:space="0"/>
              <w:right w:val="single" w:color="000000" w:sz="8" w:space="0"/>
            </w:tcBorders>
            <w:shd w:val="clear" w:color="auto" w:fill="auto"/>
            <w:vAlign w:val="center"/>
          </w:tcPr>
          <w:p w14:paraId="24C1E5CD">
            <w:pPr>
              <w:jc w:val="center"/>
              <w:rPr>
                <w:rFonts w:hint="eastAsia" w:ascii="宋体" w:hAnsi="宋体" w:eastAsia="宋体" w:cs="宋体"/>
                <w:i w:val="0"/>
                <w:iCs w:val="0"/>
                <w:color w:val="000000"/>
                <w:sz w:val="28"/>
                <w:szCs w:val="28"/>
                <w:u w:val="none"/>
              </w:rPr>
            </w:pPr>
          </w:p>
        </w:tc>
        <w:tc>
          <w:tcPr>
            <w:tcW w:w="1620" w:type="dxa"/>
            <w:tcBorders>
              <w:top w:val="nil"/>
              <w:left w:val="nil"/>
              <w:bottom w:val="single" w:color="000000" w:sz="8" w:space="0"/>
              <w:right w:val="single" w:color="000000" w:sz="8" w:space="0"/>
            </w:tcBorders>
            <w:shd w:val="clear" w:color="auto" w:fill="auto"/>
            <w:vAlign w:val="center"/>
          </w:tcPr>
          <w:p w14:paraId="715F3465">
            <w:pPr>
              <w:jc w:val="center"/>
              <w:rPr>
                <w:rFonts w:hint="eastAsia" w:ascii="宋体" w:hAnsi="宋体" w:eastAsia="宋体" w:cs="宋体"/>
                <w:i w:val="0"/>
                <w:iCs w:val="0"/>
                <w:color w:val="000000"/>
                <w:sz w:val="28"/>
                <w:szCs w:val="28"/>
                <w:u w:val="none"/>
              </w:rPr>
            </w:pPr>
          </w:p>
        </w:tc>
        <w:tc>
          <w:tcPr>
            <w:tcW w:w="1005" w:type="dxa"/>
            <w:tcBorders>
              <w:top w:val="nil"/>
              <w:left w:val="nil"/>
              <w:bottom w:val="single" w:color="000000" w:sz="8" w:space="0"/>
              <w:right w:val="single" w:color="000000" w:sz="8" w:space="0"/>
            </w:tcBorders>
            <w:shd w:val="clear" w:color="auto" w:fill="auto"/>
            <w:vAlign w:val="center"/>
          </w:tcPr>
          <w:p w14:paraId="574E2CFF">
            <w:pPr>
              <w:jc w:val="center"/>
              <w:rPr>
                <w:rFonts w:hint="default" w:ascii="宋体" w:hAnsi="宋体" w:eastAsia="宋体" w:cs="宋体"/>
                <w:i w:val="0"/>
                <w:iCs w:val="0"/>
                <w:color w:val="000000"/>
                <w:sz w:val="28"/>
                <w:szCs w:val="28"/>
                <w:u w:val="none"/>
                <w:lang w:val="en-US" w:eastAsia="zh-CN"/>
              </w:rPr>
            </w:pPr>
            <w:r>
              <w:rPr>
                <w:rFonts w:hint="eastAsia" w:cs="宋体"/>
                <w:i w:val="0"/>
                <w:iCs w:val="0"/>
                <w:color w:val="000000"/>
                <w:sz w:val="28"/>
                <w:szCs w:val="28"/>
                <w:u w:val="none"/>
                <w:lang w:val="en-US" w:eastAsia="zh-CN"/>
              </w:rPr>
              <w:t>40</w:t>
            </w:r>
          </w:p>
        </w:tc>
        <w:tc>
          <w:tcPr>
            <w:tcW w:w="2175" w:type="dxa"/>
            <w:tcBorders>
              <w:top w:val="nil"/>
              <w:left w:val="nil"/>
              <w:bottom w:val="single" w:color="000000" w:sz="8" w:space="0"/>
              <w:right w:val="single" w:color="000000" w:sz="8" w:space="0"/>
            </w:tcBorders>
            <w:shd w:val="clear" w:color="auto" w:fill="auto"/>
            <w:vAlign w:val="center"/>
          </w:tcPr>
          <w:p w14:paraId="4BF3698B">
            <w:pPr>
              <w:jc w:val="center"/>
              <w:rPr>
                <w:rFonts w:hint="eastAsia" w:ascii="宋体" w:hAnsi="宋体" w:eastAsia="宋体" w:cs="宋体"/>
                <w:i w:val="0"/>
                <w:iCs w:val="0"/>
                <w:color w:val="000000"/>
                <w:sz w:val="28"/>
                <w:szCs w:val="28"/>
                <w:u w:val="none"/>
              </w:rPr>
            </w:pPr>
          </w:p>
        </w:tc>
      </w:tr>
      <w:tr w14:paraId="5129F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1880"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1240DD1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报价金额（元）（穿戴式长程动态心电监测系统价格*2+穿戴式心电传感器(12导联)价格*40）</w:t>
            </w:r>
          </w:p>
        </w:tc>
        <w:tc>
          <w:tcPr>
            <w:tcW w:w="2175" w:type="dxa"/>
            <w:tcBorders>
              <w:top w:val="nil"/>
              <w:left w:val="nil"/>
              <w:bottom w:val="single" w:color="000000" w:sz="8" w:space="0"/>
              <w:right w:val="single" w:color="000000" w:sz="8" w:space="0"/>
            </w:tcBorders>
            <w:shd w:val="clear" w:color="auto" w:fill="auto"/>
            <w:vAlign w:val="center"/>
          </w:tcPr>
          <w:p w14:paraId="0632BC09">
            <w:pPr>
              <w:rPr>
                <w:rFonts w:hint="eastAsia" w:ascii="宋体" w:hAnsi="宋体" w:eastAsia="宋体" w:cs="宋体"/>
                <w:i w:val="0"/>
                <w:iCs w:val="0"/>
                <w:color w:val="000000"/>
                <w:sz w:val="28"/>
                <w:szCs w:val="28"/>
                <w:u w:val="none"/>
              </w:rPr>
            </w:pPr>
          </w:p>
        </w:tc>
      </w:tr>
      <w:tr w14:paraId="2B32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2970" w:type="dxa"/>
            <w:tcBorders>
              <w:top w:val="nil"/>
              <w:left w:val="single" w:color="000000" w:sz="8" w:space="0"/>
              <w:bottom w:val="single" w:color="000000" w:sz="8" w:space="0"/>
              <w:right w:val="single" w:color="000000" w:sz="8" w:space="0"/>
            </w:tcBorders>
            <w:shd w:val="clear" w:color="auto" w:fill="auto"/>
            <w:vAlign w:val="center"/>
          </w:tcPr>
          <w:p w14:paraId="48F89FFC">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联系人及电话</w:t>
            </w:r>
          </w:p>
        </w:tc>
        <w:tc>
          <w:tcPr>
            <w:tcW w:w="11085" w:type="dxa"/>
            <w:gridSpan w:val="6"/>
            <w:tcBorders>
              <w:top w:val="nil"/>
              <w:left w:val="single" w:color="000000" w:sz="8" w:space="0"/>
              <w:bottom w:val="single" w:color="000000" w:sz="8" w:space="0"/>
              <w:right w:val="single" w:color="000000" w:sz="8" w:space="0"/>
            </w:tcBorders>
            <w:shd w:val="clear" w:color="auto" w:fill="auto"/>
            <w:vAlign w:val="center"/>
          </w:tcPr>
          <w:p w14:paraId="00DC57BF">
            <w:pPr>
              <w:jc w:val="center"/>
              <w:rPr>
                <w:rFonts w:hint="eastAsia" w:ascii="宋体" w:hAnsi="宋体" w:eastAsia="宋体" w:cs="宋体"/>
                <w:i w:val="0"/>
                <w:iCs w:val="0"/>
                <w:color w:val="000000"/>
                <w:sz w:val="28"/>
                <w:szCs w:val="28"/>
                <w:u w:val="none"/>
              </w:rPr>
            </w:pPr>
          </w:p>
        </w:tc>
      </w:tr>
      <w:tr w14:paraId="5901E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2970" w:type="dxa"/>
            <w:tcBorders>
              <w:top w:val="nil"/>
              <w:left w:val="single" w:color="000000" w:sz="8" w:space="0"/>
              <w:bottom w:val="single" w:color="000000" w:sz="8" w:space="0"/>
              <w:right w:val="single" w:color="000000" w:sz="8" w:space="0"/>
            </w:tcBorders>
            <w:shd w:val="clear" w:color="auto" w:fill="auto"/>
            <w:vAlign w:val="center"/>
          </w:tcPr>
          <w:p w14:paraId="0C39F210">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开票信息</w:t>
            </w:r>
          </w:p>
        </w:tc>
        <w:tc>
          <w:tcPr>
            <w:tcW w:w="11085" w:type="dxa"/>
            <w:gridSpan w:val="6"/>
            <w:tcBorders>
              <w:top w:val="nil"/>
              <w:left w:val="single" w:color="000000" w:sz="8" w:space="0"/>
              <w:bottom w:val="single" w:color="000000" w:sz="8" w:space="0"/>
              <w:right w:val="single" w:color="000000" w:sz="8" w:space="0"/>
            </w:tcBorders>
            <w:shd w:val="clear" w:color="auto" w:fill="auto"/>
            <w:vAlign w:val="center"/>
          </w:tcPr>
          <w:p w14:paraId="3AC8F3AC">
            <w:pPr>
              <w:jc w:val="center"/>
              <w:rPr>
                <w:rFonts w:hint="eastAsia" w:ascii="宋体" w:hAnsi="宋体" w:eastAsia="宋体" w:cs="宋体"/>
                <w:i w:val="0"/>
                <w:iCs w:val="0"/>
                <w:color w:val="000000"/>
                <w:sz w:val="28"/>
                <w:szCs w:val="28"/>
                <w:u w:val="none"/>
              </w:rPr>
            </w:pPr>
          </w:p>
        </w:tc>
      </w:tr>
      <w:tr w14:paraId="3D70D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2970" w:type="dxa"/>
            <w:tcBorders>
              <w:top w:val="nil"/>
              <w:left w:val="single" w:color="000000" w:sz="8" w:space="0"/>
              <w:bottom w:val="single" w:color="000000" w:sz="8" w:space="0"/>
              <w:right w:val="single" w:color="000000" w:sz="8" w:space="0"/>
            </w:tcBorders>
            <w:shd w:val="clear" w:color="auto" w:fill="auto"/>
            <w:vAlign w:val="center"/>
          </w:tcPr>
          <w:p w14:paraId="35ADA25F">
            <w:pPr>
              <w:keepNext w:val="0"/>
              <w:keepLines w:val="0"/>
              <w:widowControl/>
              <w:suppressLineNumbers w:val="0"/>
              <w:jc w:val="center"/>
              <w:textAlignment w:val="center"/>
              <w:rPr>
                <w:rFonts w:hint="eastAsia" w:ascii="宋体" w:hAnsi="宋体" w:eastAsia="宋体" w:cs="宋体"/>
                <w:i w:val="0"/>
                <w:iCs w:val="0"/>
                <w:color w:val="000000"/>
                <w:sz w:val="28"/>
                <w:szCs w:val="28"/>
                <w:u w:val="none"/>
              </w:rPr>
            </w:pPr>
            <w:r>
              <w:rPr>
                <w:rFonts w:hint="eastAsia" w:ascii="宋体" w:hAnsi="宋体" w:eastAsia="宋体" w:cs="宋体"/>
                <w:i w:val="0"/>
                <w:iCs w:val="0"/>
                <w:color w:val="000000"/>
                <w:kern w:val="0"/>
                <w:sz w:val="28"/>
                <w:szCs w:val="28"/>
                <w:u w:val="none"/>
                <w:lang w:val="en-US" w:eastAsia="zh-CN" w:bidi="ar"/>
              </w:rPr>
              <w:t>质保期（月）</w:t>
            </w:r>
          </w:p>
        </w:tc>
        <w:tc>
          <w:tcPr>
            <w:tcW w:w="11085" w:type="dxa"/>
            <w:gridSpan w:val="6"/>
            <w:tcBorders>
              <w:top w:val="nil"/>
              <w:left w:val="single" w:color="000000" w:sz="8" w:space="0"/>
              <w:bottom w:val="single" w:color="000000" w:sz="8" w:space="0"/>
              <w:right w:val="single" w:color="000000" w:sz="8" w:space="0"/>
            </w:tcBorders>
            <w:shd w:val="clear" w:color="auto" w:fill="auto"/>
            <w:vAlign w:val="center"/>
          </w:tcPr>
          <w:p w14:paraId="2066B69B">
            <w:pPr>
              <w:jc w:val="center"/>
              <w:rPr>
                <w:rFonts w:hint="default" w:ascii="宋体" w:hAnsi="宋体" w:eastAsia="仿宋" w:cs="宋体"/>
                <w:i w:val="0"/>
                <w:iCs w:val="0"/>
                <w:color w:val="000000"/>
                <w:sz w:val="28"/>
                <w:szCs w:val="28"/>
                <w:u w:val="none"/>
                <w:lang w:val="en-US" w:eastAsia="zh-CN"/>
              </w:rPr>
            </w:pPr>
            <w:r>
              <w:rPr>
                <w:rFonts w:hint="eastAsia" w:ascii="仿宋" w:hAnsi="仿宋" w:eastAsia="仿宋"/>
                <w:sz w:val="30"/>
                <w:szCs w:val="30"/>
              </w:rPr>
              <w:t>动态心电监测系统</w:t>
            </w:r>
            <w:r>
              <w:rPr>
                <w:rFonts w:hint="eastAsia" w:ascii="仿宋" w:hAnsi="仿宋" w:eastAsia="仿宋"/>
                <w:sz w:val="30"/>
                <w:szCs w:val="30"/>
                <w:lang w:val="en-US" w:eastAsia="zh-CN"/>
              </w:rPr>
              <w:t>质保12个月，</w:t>
            </w:r>
            <w:r>
              <w:rPr>
                <w:rFonts w:hint="eastAsia" w:ascii="仿宋" w:hAnsi="仿宋" w:eastAsia="仿宋"/>
                <w:sz w:val="30"/>
                <w:szCs w:val="30"/>
              </w:rPr>
              <w:t>穿戴式心电传感器</w:t>
            </w:r>
            <w:r>
              <w:rPr>
                <w:rFonts w:hint="eastAsia" w:ascii="仿宋" w:hAnsi="仿宋" w:eastAsia="仿宋"/>
                <w:sz w:val="30"/>
                <w:szCs w:val="30"/>
                <w:lang w:val="en-US" w:eastAsia="zh-CN"/>
              </w:rPr>
              <w:t>在货物有效期内可退货可更换。</w:t>
            </w:r>
          </w:p>
        </w:tc>
      </w:tr>
    </w:tbl>
    <w:p w14:paraId="2E0333B9">
      <w:pPr>
        <w:pStyle w:val="2"/>
        <w:spacing w:before="219"/>
        <w:ind w:firstLine="6440" w:firstLineChars="2300"/>
        <w:rPr>
          <w:sz w:val="28"/>
          <w:szCs w:val="28"/>
          <w:lang w:eastAsia="zh-CN"/>
        </w:rPr>
      </w:pPr>
      <w:r>
        <w:rPr>
          <w:rFonts w:hint="eastAsia"/>
          <w:sz w:val="28"/>
          <w:szCs w:val="28"/>
          <w:lang w:eastAsia="zh-CN"/>
        </w:rPr>
        <w:t>公司（盖章）</w:t>
      </w:r>
    </w:p>
    <w:p w14:paraId="7A63C8A2">
      <w:pPr>
        <w:pStyle w:val="2"/>
        <w:ind w:right="84"/>
        <w:jc w:val="right"/>
      </w:pPr>
      <w:bookmarkStart w:id="0" w:name="_GoBack"/>
      <w:bookmarkEnd w:id="0"/>
      <w:r>
        <w:rPr>
          <w:rFonts w:hint="eastAsia"/>
          <w:sz w:val="28"/>
          <w:szCs w:val="28"/>
          <w:lang w:eastAsia="zh-CN"/>
        </w:rPr>
        <w:t>年    月    日</w:t>
      </w:r>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27"/>
    <w:rsid w:val="000021E7"/>
    <w:rsid w:val="0003083F"/>
    <w:rsid w:val="001E3363"/>
    <w:rsid w:val="00722A91"/>
    <w:rsid w:val="00834E5D"/>
    <w:rsid w:val="0089290B"/>
    <w:rsid w:val="00A03387"/>
    <w:rsid w:val="00AE1B27"/>
    <w:rsid w:val="00D32727"/>
    <w:rsid w:val="00E90CBE"/>
    <w:rsid w:val="00EE6549"/>
    <w:rsid w:val="00F453E2"/>
    <w:rsid w:val="00FD7267"/>
    <w:rsid w:val="2C5C7914"/>
    <w:rsid w:val="30D20320"/>
    <w:rsid w:val="68BF5EA8"/>
    <w:rsid w:val="757B6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kern w:val="0"/>
      <w:sz w:val="22"/>
      <w:szCs w:val="22"/>
      <w:lang w:val="en-US" w:eastAsia="en-US"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1"/>
    <w:unhideWhenUsed/>
    <w:qFormat/>
    <w:uiPriority w:val="1"/>
    <w:rPr>
      <w:sz w:val="24"/>
      <w:szCs w:val="24"/>
    </w:rPr>
  </w:style>
  <w:style w:type="paragraph" w:styleId="3">
    <w:name w:val="footer"/>
    <w:basedOn w:val="1"/>
    <w:link w:val="10"/>
    <w:unhideWhenUsed/>
    <w:qFormat/>
    <w:uiPriority w:val="99"/>
    <w:pPr>
      <w:tabs>
        <w:tab w:val="center" w:pos="4153"/>
        <w:tab w:val="right" w:pos="8306"/>
      </w:tabs>
      <w:autoSpaceDE/>
      <w:autoSpaceDN/>
      <w:snapToGrid w:val="0"/>
    </w:pPr>
    <w:rPr>
      <w:rFonts w:asciiTheme="minorHAnsi" w:hAnsiTheme="minorHAnsi" w:eastAsiaTheme="minorEastAsia" w:cstheme="minorBidi"/>
      <w:kern w:val="2"/>
      <w:sz w:val="18"/>
      <w:szCs w:val="18"/>
      <w:lang w:eastAsia="zh-CN"/>
    </w:rPr>
  </w:style>
  <w:style w:type="paragraph" w:styleId="4">
    <w:name w:val="header"/>
    <w:basedOn w:val="1"/>
    <w:link w:val="9"/>
    <w:unhideWhenUsed/>
    <w:uiPriority w:val="99"/>
    <w:pPr>
      <w:pBdr>
        <w:bottom w:val="single" w:color="auto" w:sz="6" w:space="1"/>
      </w:pBdr>
      <w:tabs>
        <w:tab w:val="center" w:pos="4153"/>
        <w:tab w:val="right" w:pos="8306"/>
      </w:tabs>
      <w:autoSpaceDE/>
      <w:autoSpaceDN/>
      <w:snapToGrid w:val="0"/>
      <w:jc w:val="center"/>
    </w:pPr>
    <w:rPr>
      <w:rFonts w:asciiTheme="minorHAnsi" w:hAnsiTheme="minorHAnsi" w:eastAsiaTheme="minorEastAsia" w:cstheme="minorBidi"/>
      <w:kern w:val="2"/>
      <w:sz w:val="18"/>
      <w:szCs w:val="18"/>
      <w:lang w:eastAsia="zh-CN"/>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uiPriority w:val="99"/>
    <w:rPr>
      <w:sz w:val="18"/>
      <w:szCs w:val="18"/>
    </w:rPr>
  </w:style>
  <w:style w:type="character" w:customStyle="1" w:styleId="10">
    <w:name w:val="页脚 字符"/>
    <w:basedOn w:val="8"/>
    <w:link w:val="3"/>
    <w:uiPriority w:val="99"/>
    <w:rPr>
      <w:sz w:val="18"/>
      <w:szCs w:val="18"/>
    </w:rPr>
  </w:style>
  <w:style w:type="character" w:customStyle="1" w:styleId="11">
    <w:name w:val="正文文本 字符"/>
    <w:basedOn w:val="8"/>
    <w:link w:val="2"/>
    <w:uiPriority w:val="1"/>
    <w:rPr>
      <w:rFonts w:ascii="宋体" w:hAnsi="宋体" w:eastAsia="宋体" w:cs="宋体"/>
      <w:kern w:val="0"/>
      <w:sz w:val="24"/>
      <w:szCs w:val="24"/>
      <w:lang w:eastAsia="en-US"/>
    </w:rPr>
  </w:style>
  <w:style w:type="paragraph" w:customStyle="1" w:styleId="12">
    <w:name w:val="Table Paragraph"/>
    <w:basedOn w:val="1"/>
    <w:qFormat/>
    <w:uiPriority w:val="1"/>
    <w:pPr>
      <w:ind w:left="108"/>
    </w:pPr>
  </w:style>
  <w:style w:type="table" w:customStyle="1" w:styleId="13">
    <w:name w:val="Table Normal"/>
    <w:semiHidden/>
    <w:qFormat/>
    <w:uiPriority w:val="2"/>
    <w:pPr>
      <w:widowControl w:val="0"/>
      <w:autoSpaceDE w:val="0"/>
      <w:autoSpaceDN w:val="0"/>
    </w:pPr>
    <w:rPr>
      <w:rFonts w:eastAsia="Times New Roman"/>
      <w:kern w:val="0"/>
      <w:sz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185</Words>
  <Characters>194</Characters>
  <Lines>1</Lines>
  <Paragraphs>1</Paragraphs>
  <TotalTime>0</TotalTime>
  <ScaleCrop>false</ScaleCrop>
  <LinksUpToDate>false</LinksUpToDate>
  <CharactersWithSpaces>202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2024-09-19T09:25:00Z</dcterms:created>
  <dc:creator>药剂科01</dc:creator>
  <cp:lastModifiedBy>岁月忽回首</cp:lastModifiedBy>
  <dcterms:modified xsi:type="dcterms:W3CDTF">2026-10-20T01:15:00Z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eyJoZGlkIjoiMjE3MzE5MzM5ZWM4YWViNzYzMDg2ZjYwNDJiMzM4NDciLCJ1c2VySWQiOiI0MTcwNjAyNTAifQ==</vt:lpwstr>
  </property>
  <property fmtid="{D5CDD505-2E9C-101B-9397-08002B2CF9AE}" pid="3" name="KSOProductBuildVer">
    <vt:lpwstr>2052-12.1.0.28505</vt:lpwstr>
  </property>
  <property fmtid="{D5CDD505-2E9C-101B-9397-08002B2CF9AE}" pid="4" name="ICV">
    <vt:lpwstr>7FC49D96FC1B4520B5B7D29B3F717679_12</vt:lpwstr>
  </property>
</Properties>
</file>