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长丰县人民医院输液瓶（袋）、透析药桶等使用后未污染医疗废品回收处置服务（二次）</w:t>
      </w:r>
    </w:p>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竞争性谈判文件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bookmarkStart w:id="92" w:name="_GoBack"/>
      <w:bookmarkEnd w:id="92"/>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numPr>
          <w:ilvl w:val="0"/>
          <w:numId w:val="0"/>
        </w:numPr>
        <w:spacing w:before="0" w:after="0"/>
        <w:ind w:firstLine="723" w:firstLineChars="200"/>
        <w:jc w:val="both"/>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val="en-US" w:eastAsia="zh-CN"/>
        </w:rPr>
        <w:t>长丰县人民医院输液瓶（袋）、透析药桶等使用后未污染医疗废品回收处置服务（二次）</w:t>
      </w: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00</w:t>
      </w:r>
      <w:r>
        <w:rPr>
          <w:rFonts w:hint="eastAsia" w:ascii="宋体" w:hAnsi="宋体" w:eastAsia="宋体"/>
          <w:b/>
          <w:spacing w:val="20"/>
          <w:kern w:val="0"/>
          <w:sz w:val="32"/>
          <w:szCs w:val="32"/>
          <w:u w:val="single"/>
          <w:lang w:val="en-US" w:eastAsia="zh-CN"/>
        </w:rPr>
        <w:t xml:space="preserve">3 </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4</w:t>
      </w:r>
      <w:r>
        <w:rPr>
          <w:rFonts w:hint="eastAsia" w:ascii="宋体" w:hAnsi="宋体" w:eastAsia="宋体"/>
          <w:b/>
          <w:sz w:val="36"/>
          <w:u w:val="single"/>
        </w:rPr>
        <w:t xml:space="preserve"> </w:t>
      </w:r>
      <w:r>
        <w:rPr>
          <w:rFonts w:hint="eastAsia" w:ascii="宋体" w:hAnsi="宋体" w:eastAsia="宋体"/>
          <w:b/>
          <w:sz w:val="36"/>
        </w:rPr>
        <w:t>月</w:t>
      </w:r>
    </w:p>
    <w:p/>
    <w:p>
      <w:pPr>
        <w:pStyle w:val="5"/>
      </w:pPr>
    </w:p>
    <w:p>
      <w:pPr>
        <w:pStyle w:val="6"/>
      </w:pPr>
    </w:p>
    <w:p/>
    <w:p>
      <w:pPr>
        <w:pStyle w:val="5"/>
      </w:pPr>
    </w:p>
    <w:p>
      <w:pPr>
        <w:pStyle w:val="6"/>
      </w:pPr>
    </w:p>
    <w:p/>
    <w:p>
      <w:pPr>
        <w:pStyle w:val="5"/>
      </w:pPr>
    </w:p>
    <w:p>
      <w:pPr>
        <w:pStyle w:val="6"/>
      </w:pPr>
    </w:p>
    <w:p/>
    <w:p>
      <w:pPr>
        <w:pStyle w:val="5"/>
      </w:pPr>
    </w:p>
    <w:p>
      <w:pPr>
        <w:pStyle w:val="6"/>
      </w:pPr>
    </w:p>
    <w:p/>
    <w:p>
      <w:pPr>
        <w:tabs>
          <w:tab w:val="left" w:pos="2410"/>
        </w:tabs>
        <w:autoSpaceDE w:val="0"/>
        <w:autoSpaceDN w:val="0"/>
        <w:adjustRightInd w:val="0"/>
        <w:snapToGrid w:val="0"/>
        <w:spacing w:line="360" w:lineRule="auto"/>
        <w:jc w:val="center"/>
        <w:rPr>
          <w:rFonts w:hint="eastAsia"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3"/>
        <w:tabs>
          <w:tab w:val="right" w:leader="dot" w:pos="8279"/>
        </w:tabs>
        <w:rPr>
          <w:rFonts w:hint="eastAsia" w:eastAsiaTheme="minorEastAsia"/>
          <w:lang w:val="en-US" w:eastAsia="zh-CN"/>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lang w:val="en-US" w:eastAsia="zh-CN"/>
        </w:rPr>
        <w:t>谈判</w:t>
      </w:r>
      <w:r>
        <w:rPr>
          <w:rFonts w:hint="eastAsia" w:asciiTheme="minorEastAsia" w:hAnsiTheme="minorEastAsia"/>
        </w:rPr>
        <w:t>邀请</w:t>
      </w:r>
      <w:r>
        <w:tab/>
      </w:r>
      <w:r>
        <w:fldChar w:fldCharType="end"/>
      </w:r>
      <w:r>
        <w:rPr>
          <w:rFonts w:hint="eastAsia"/>
          <w:lang w:val="en-US" w:eastAsia="zh-CN"/>
        </w:rPr>
        <w:t>3</w:t>
      </w:r>
    </w:p>
    <w:p>
      <w:pPr>
        <w:pStyle w:val="13"/>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pPr>
        <w:pStyle w:val="13"/>
        <w:tabs>
          <w:tab w:val="right" w:leader="dot" w:pos="8279"/>
        </w:tabs>
        <w:rPr>
          <w:rFonts w:hint="eastAsia" w:eastAsiaTheme="minorEastAsia"/>
          <w:lang w:val="en-US" w:eastAsia="zh-CN"/>
        </w:rPr>
      </w:pPr>
      <w:r>
        <w:fldChar w:fldCharType="begin"/>
      </w:r>
      <w:r>
        <w:instrText xml:space="preserve"> HYPERLINK \l "_Toc19440" </w:instrText>
      </w:r>
      <w:r>
        <w:fldChar w:fldCharType="separate"/>
      </w:r>
      <w:r>
        <w:rPr>
          <w:rFonts w:hint="eastAsia" w:asciiTheme="minorEastAsia" w:hAnsiTheme="minorEastAsia"/>
        </w:rPr>
        <w:t>第三章  采购需求</w:t>
      </w:r>
      <w:r>
        <w:tab/>
      </w:r>
      <w:r>
        <w:rPr>
          <w:rFonts w:hint="eastAsia"/>
          <w:lang w:val="en-US" w:eastAsia="zh-CN"/>
        </w:rPr>
        <w:t>1</w:t>
      </w:r>
      <w:r>
        <w:fldChar w:fldCharType="end"/>
      </w:r>
      <w:r>
        <w:rPr>
          <w:rFonts w:hint="eastAsia"/>
          <w:lang w:val="en-US" w:eastAsia="zh-CN"/>
        </w:rPr>
        <w:t>0</w:t>
      </w:r>
    </w:p>
    <w:p>
      <w:pPr>
        <w:pStyle w:val="13"/>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2</w:t>
      </w:r>
    </w:p>
    <w:p>
      <w:pPr>
        <w:pStyle w:val="13"/>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3</w:t>
      </w:r>
    </w:p>
    <w:p>
      <w:pPr>
        <w:pStyle w:val="13"/>
        <w:tabs>
          <w:tab w:val="right" w:leader="dot" w:pos="8279"/>
        </w:tabs>
        <w:rPr>
          <w:rFonts w:hint="eastAsia"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rPr>
          <w:rFonts w:hint="eastAsia"/>
          <w:lang w:val="en-US" w:eastAsia="zh-CN"/>
        </w:rPr>
        <w:t>1</w:t>
      </w:r>
      <w:r>
        <w:fldChar w:fldCharType="end"/>
      </w:r>
      <w:r>
        <w:rPr>
          <w:rFonts w:hint="eastAsia"/>
          <w:lang w:val="en-US" w:eastAsia="zh-CN"/>
        </w:rPr>
        <w:t>4</w:t>
      </w:r>
    </w:p>
    <w:p>
      <w:pPr>
        <w:pStyle w:val="13"/>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2</w:t>
      </w:r>
      <w:r>
        <w:fldChar w:fldCharType="end"/>
      </w:r>
      <w:r>
        <w:rPr>
          <w:rFonts w:hint="eastAsia"/>
          <w:lang w:val="en-US" w:eastAsia="zh-CN"/>
        </w:rPr>
        <w:t>5</w:t>
      </w:r>
    </w:p>
    <w:p>
      <w:pPr>
        <w:pStyle w:val="5"/>
        <w:rPr>
          <w:rFonts w:asciiTheme="minorEastAsia" w:hAnsiTheme="minorEastAsia"/>
          <w:bCs/>
          <w:szCs w:val="24"/>
        </w:rPr>
      </w:pPr>
      <w:r>
        <w:rPr>
          <w:rFonts w:asciiTheme="minorEastAsia" w:hAnsiTheme="minorEastAsia"/>
          <w:bCs/>
          <w:szCs w:val="24"/>
        </w:rPr>
        <w:fldChar w:fldCharType="end"/>
      </w: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rPr>
          <w:rFonts w:asciiTheme="minorEastAsia" w:hAnsiTheme="minorEastAsia"/>
          <w:bCs/>
          <w:szCs w:val="24"/>
        </w:rPr>
      </w:pPr>
    </w:p>
    <w:p>
      <w:pPr>
        <w:pStyle w:val="5"/>
        <w:rPr>
          <w:rFonts w:asciiTheme="minorEastAsia" w:hAnsiTheme="minorEastAsia"/>
          <w:bCs/>
          <w:szCs w:val="24"/>
        </w:rPr>
      </w:pPr>
    </w:p>
    <w:p>
      <w:pPr>
        <w:pStyle w:val="6"/>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0" w:name="_Toc501"/>
      <w:bookmarkStart w:id="1" w:name="_Toc1998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lang w:val="en-US" w:eastAsia="zh-CN"/>
        </w:rPr>
        <w:t>谈判</w:t>
      </w:r>
      <w:r>
        <w:rPr>
          <w:rFonts w:hint="eastAsia" w:asciiTheme="minorEastAsia" w:hAnsiTheme="minorEastAsia" w:eastAsiaTheme="minorEastAsia"/>
          <w:b/>
          <w:sz w:val="28"/>
        </w:rPr>
        <w:t>邀请</w:t>
      </w:r>
      <w:bookmarkEnd w:id="0"/>
      <w:bookmarkEnd w:id="1"/>
    </w:p>
    <w:p>
      <w:pPr>
        <w:pStyle w:val="3"/>
        <w:spacing w:before="0" w:after="0" w:line="360" w:lineRule="auto"/>
        <w:ind w:firstLine="482" w:firstLineChars="200"/>
        <w:rPr>
          <w:rFonts w:ascii="宋体" w:hAnsi="宋体" w:eastAsia="宋体" w:cs="宋体"/>
          <w:bCs w:val="0"/>
          <w:sz w:val="24"/>
          <w:szCs w:val="24"/>
        </w:rPr>
      </w:pPr>
      <w:bookmarkStart w:id="2" w:name="_Toc35393629"/>
      <w:bookmarkStart w:id="3" w:name="_Toc35393798"/>
      <w:bookmarkStart w:id="4" w:name="_Toc14730"/>
      <w:bookmarkStart w:id="5" w:name="_Toc28359012"/>
      <w:bookmarkStart w:id="6" w:name="_Toc28359089"/>
      <w:r>
        <w:rPr>
          <w:rFonts w:hint="eastAsia" w:ascii="宋体" w:hAnsi="宋体" w:eastAsia="宋体" w:cs="宋体"/>
          <w:bCs w:val="0"/>
          <w:sz w:val="24"/>
          <w:szCs w:val="24"/>
        </w:rPr>
        <w:t>一、项目基本情况</w:t>
      </w:r>
      <w:bookmarkEnd w:id="2"/>
      <w:bookmarkEnd w:id="3"/>
      <w:bookmarkEnd w:id="4"/>
      <w:bookmarkEnd w:id="5"/>
      <w:bookmarkEnd w:id="6"/>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1.项目编号：</w:t>
      </w:r>
      <w:r>
        <w:rPr>
          <w:rFonts w:hint="eastAsia" w:ascii="宋体" w:hAnsi="宋体" w:eastAsia="宋体" w:cs="宋体"/>
          <w:color w:val="auto"/>
          <w:sz w:val="24"/>
          <w:szCs w:val="24"/>
          <w:u w:val="single"/>
        </w:rPr>
        <w:t xml:space="preserve"> CFXRMYY202</w:t>
      </w:r>
      <w:r>
        <w:rPr>
          <w:rFonts w:hint="eastAsia" w:ascii="宋体" w:hAnsi="宋体" w:eastAsia="宋体" w:cs="宋体"/>
          <w:color w:val="auto"/>
          <w:sz w:val="24"/>
          <w:szCs w:val="24"/>
          <w:u w:val="single"/>
          <w:lang w:val="en-US" w:eastAsia="zh-CN"/>
        </w:rPr>
        <w:t>6</w:t>
      </w:r>
      <w:r>
        <w:rPr>
          <w:rFonts w:hint="eastAsia" w:ascii="宋体" w:hAnsi="宋体" w:eastAsia="宋体" w:cs="宋体"/>
          <w:color w:val="auto"/>
          <w:sz w:val="24"/>
          <w:szCs w:val="24"/>
          <w:u w:val="single"/>
        </w:rPr>
        <w:t>00</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2.项目名称： </w:t>
      </w:r>
      <w:r>
        <w:rPr>
          <w:rFonts w:hint="eastAsia" w:ascii="宋体" w:hAnsi="宋体" w:eastAsia="宋体" w:cs="宋体"/>
          <w:color w:val="auto"/>
          <w:sz w:val="24"/>
          <w:szCs w:val="24"/>
          <w:u w:val="single"/>
          <w:lang w:val="en-US" w:eastAsia="zh-CN"/>
        </w:rPr>
        <w:t>长丰县人民医院输液瓶（袋）、透析药桶等使用后未污染医疗废品回收处置服务（二次）</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最低限价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输液瓶（袋）1.00元/kg（去除20%残留药液）；透析药桶1.00元/个。 </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.采购需求：</w:t>
      </w:r>
      <w:r>
        <w:rPr>
          <w:rFonts w:hint="eastAsia" w:ascii="宋体" w:hAnsi="宋体" w:eastAsia="宋体" w:cs="宋体"/>
          <w:color w:val="auto"/>
          <w:sz w:val="24"/>
          <w:szCs w:val="24"/>
          <w:u w:val="single"/>
          <w:lang w:val="en-US" w:eastAsia="zh-CN"/>
        </w:rPr>
        <w:t>拟采购一家供应商为长丰县人民医院使用后未污染的输液瓶（袋）、透析药桶等医疗废品提供回收服务，详见采购需求。</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6.合同履行期限：</w:t>
      </w:r>
      <w:r>
        <w:rPr>
          <w:rFonts w:hint="eastAsia" w:ascii="宋体" w:hAnsi="宋体" w:eastAsia="宋体" w:cs="宋体"/>
          <w:color w:val="auto"/>
          <w:sz w:val="24"/>
          <w:szCs w:val="24"/>
          <w:u w:val="single"/>
          <w:lang w:val="en-US" w:eastAsia="zh-CN"/>
        </w:rPr>
        <w:t>自合同签订之日起1年。合同履约完成后，经采购人考核合格且双方同意的前提下，可续签下一年度合同，合同一年一签，最多续签两次，合同金额和内容不变。</w:t>
      </w:r>
    </w:p>
    <w:p>
      <w:pPr>
        <w:spacing w:line="360" w:lineRule="auto"/>
        <w:ind w:firstLine="480" w:firstLineChars="200"/>
        <w:rPr>
          <w:rFonts w:hint="default" w:ascii="宋体" w:hAnsi="宋体" w:cs="宋体" w:eastAsiaTheme="minorEastAsia"/>
          <w:color w:val="auto"/>
          <w:sz w:val="24"/>
          <w:szCs w:val="24"/>
          <w:lang w:val="en-US" w:eastAsia="zh-CN"/>
        </w:rPr>
      </w:pPr>
      <w:r>
        <w:rPr>
          <w:rFonts w:hint="eastAsia" w:ascii="宋体" w:hAnsi="宋体" w:eastAsia="宋体" w:cs="宋体"/>
          <w:color w:val="auto"/>
          <w:sz w:val="24"/>
          <w:szCs w:val="24"/>
        </w:rPr>
        <w:t>7.</w:t>
      </w:r>
      <w:r>
        <w:rPr>
          <w:rFonts w:hint="eastAsia" w:asciiTheme="minorEastAsia" w:hAnsiTheme="minorEastAsia" w:eastAsiaTheme="minorEastAsia"/>
          <w:color w:val="auto"/>
          <w:sz w:val="24"/>
        </w:rPr>
        <w:t>本项目</w:t>
      </w:r>
      <w:r>
        <w:rPr>
          <w:rFonts w:hint="eastAsia" w:asciiTheme="minorEastAsia" w:hAnsiTheme="minorEastAsia" w:eastAsiaTheme="minorEastAsia"/>
          <w:color w:val="auto"/>
          <w:sz w:val="24"/>
          <w:lang w:val="en-US" w:eastAsia="zh-CN"/>
        </w:rPr>
        <w:t>是</w:t>
      </w:r>
      <w:r>
        <w:rPr>
          <w:rFonts w:hint="eastAsia" w:asciiTheme="minorEastAsia" w:hAnsiTheme="minorEastAsia" w:eastAsiaTheme="minorEastAsia"/>
          <w:color w:val="auto"/>
          <w:sz w:val="24"/>
        </w:rPr>
        <w:t>否接受联合体</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否</w:t>
      </w:r>
    </w:p>
    <w:p>
      <w:pPr>
        <w:pStyle w:val="3"/>
        <w:spacing w:before="0" w:after="0" w:line="360" w:lineRule="auto"/>
        <w:ind w:firstLine="482" w:firstLineChars="200"/>
        <w:rPr>
          <w:rFonts w:ascii="宋体" w:hAnsi="宋体" w:eastAsia="宋体" w:cs="宋体"/>
          <w:bCs w:val="0"/>
          <w:sz w:val="24"/>
          <w:szCs w:val="24"/>
        </w:rPr>
      </w:pPr>
      <w:bookmarkStart w:id="7" w:name="_Toc32615"/>
      <w:bookmarkStart w:id="8" w:name="_Toc35393799"/>
      <w:bookmarkStart w:id="9" w:name="_Toc28359090"/>
      <w:bookmarkStart w:id="10" w:name="_Toc28359013"/>
      <w:bookmarkStart w:id="11" w:name="_Toc35393630"/>
      <w:r>
        <w:rPr>
          <w:rFonts w:hint="eastAsia" w:ascii="宋体" w:hAnsi="宋体" w:eastAsia="宋体" w:cs="宋体"/>
          <w:bCs w:val="0"/>
          <w:sz w:val="24"/>
          <w:szCs w:val="24"/>
        </w:rPr>
        <w:t>二、申请人的资格要求：</w:t>
      </w:r>
      <w:bookmarkEnd w:id="7"/>
      <w:bookmarkEnd w:id="8"/>
      <w:bookmarkEnd w:id="9"/>
      <w:bookmarkEnd w:id="10"/>
      <w:bookmarkEnd w:id="11"/>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bookmarkStart w:id="12" w:name="_Toc35393800"/>
      <w:bookmarkStart w:id="13" w:name="_Toc24072"/>
      <w:bookmarkStart w:id="14" w:name="_Toc28359014"/>
      <w:bookmarkStart w:id="15" w:name="_Toc35393631"/>
      <w:bookmarkStart w:id="16" w:name="_Toc2835909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3.专用资格条件：供应商具有环境保护行政主管部门关于一次性塑料输液瓶（袋）回收处置项目的批复。</w:t>
      </w:r>
    </w:p>
    <w:p>
      <w:pPr>
        <w:pStyle w:val="3"/>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2"/>
      <w:bookmarkEnd w:id="13"/>
      <w:bookmarkEnd w:id="14"/>
      <w:bookmarkEnd w:id="15"/>
      <w:bookmarkEnd w:id="16"/>
    </w:p>
    <w:p>
      <w:pPr>
        <w:spacing w:line="360" w:lineRule="auto"/>
        <w:ind w:firstLine="540"/>
        <w:rPr>
          <w:rFonts w:asciiTheme="minorEastAsia" w:hAnsiTheme="minorEastAsia" w:eastAsiaTheme="minorEastAsia" w:cstheme="minorEastAsia"/>
          <w:sz w:val="24"/>
          <w:szCs w:val="24"/>
          <w:u w:val="single"/>
        </w:rPr>
      </w:pPr>
      <w:bookmarkStart w:id="17" w:name="_Toc35393801"/>
      <w:bookmarkStart w:id="18" w:name="_Toc35393632"/>
      <w:bookmarkStart w:id="19" w:name="_Toc28359092"/>
      <w:bookmarkStart w:id="20" w:name="_Toc28359015"/>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pStyle w:val="3"/>
        <w:numPr>
          <w:ilvl w:val="0"/>
          <w:numId w:val="1"/>
        </w:numPr>
        <w:spacing w:before="0" w:after="0" w:line="360" w:lineRule="auto"/>
        <w:ind w:firstLine="482" w:firstLineChars="200"/>
        <w:rPr>
          <w:rFonts w:ascii="宋体" w:hAnsi="宋体" w:eastAsia="宋体" w:cs="宋体"/>
          <w:bCs w:val="0"/>
          <w:sz w:val="24"/>
          <w:szCs w:val="24"/>
        </w:rPr>
      </w:pPr>
      <w:bookmarkStart w:id="21" w:name="_Toc5805"/>
      <w:r>
        <w:rPr>
          <w:rFonts w:hint="eastAsia" w:ascii="宋体" w:hAnsi="宋体" w:eastAsia="宋体" w:cs="宋体"/>
          <w:bCs w:val="0"/>
          <w:sz w:val="24"/>
          <w:szCs w:val="24"/>
        </w:rPr>
        <w:t>响应文件提交</w:t>
      </w:r>
      <w:bookmarkEnd w:id="17"/>
      <w:bookmarkEnd w:id="18"/>
      <w:bookmarkEnd w:id="19"/>
      <w:bookmarkEnd w:id="20"/>
      <w:bookmarkEnd w:id="21"/>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pStyle w:val="3"/>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w:t>
      </w:r>
      <w:r>
        <w:rPr>
          <w:rFonts w:hint="eastAsia" w:asciiTheme="minorEastAsia" w:hAnsiTheme="minorEastAsia" w:eastAsiaTheme="minorEastAsia" w:cstheme="minorEastAsia"/>
          <w:sz w:val="24"/>
          <w:szCs w:val="24"/>
          <w:u w:val="single"/>
          <w:lang w:val="en-US" w:eastAsia="zh-CN"/>
        </w:rPr>
        <w:t>谈判</w:t>
      </w:r>
      <w:r>
        <w:rPr>
          <w:rFonts w:hint="eastAsia" w:asciiTheme="minorEastAsia" w:hAnsiTheme="minorEastAsia" w:eastAsiaTheme="minorEastAsia" w:cstheme="minorEastAsia"/>
          <w:sz w:val="24"/>
          <w:szCs w:val="24"/>
          <w:u w:val="single"/>
        </w:rPr>
        <w:t>公告</w:t>
      </w:r>
    </w:p>
    <w:p>
      <w:pPr>
        <w:pStyle w:val="3"/>
        <w:spacing w:before="0" w:after="0" w:line="360" w:lineRule="auto"/>
        <w:ind w:firstLine="482" w:firstLineChars="200"/>
        <w:rPr>
          <w:rFonts w:ascii="宋体" w:hAnsi="宋体" w:eastAsia="宋体" w:cs="宋体"/>
          <w:bCs w:val="0"/>
          <w:sz w:val="24"/>
          <w:szCs w:val="24"/>
        </w:rPr>
      </w:pPr>
      <w:bookmarkStart w:id="22" w:name="_Toc35393803"/>
      <w:bookmarkStart w:id="23" w:name="_Toc28359094"/>
      <w:bookmarkStart w:id="24" w:name="_Toc28359017"/>
      <w:bookmarkStart w:id="25" w:name="_Toc6935"/>
      <w:bookmarkStart w:id="26" w:name="_Toc35393634"/>
      <w:r>
        <w:rPr>
          <w:rFonts w:hint="eastAsia" w:ascii="宋体" w:hAnsi="宋体" w:eastAsia="宋体" w:cs="宋体"/>
          <w:bCs w:val="0"/>
          <w:sz w:val="24"/>
          <w:szCs w:val="24"/>
        </w:rPr>
        <w:t>六、公告期限</w:t>
      </w:r>
      <w:bookmarkEnd w:id="22"/>
      <w:bookmarkEnd w:id="23"/>
      <w:bookmarkEnd w:id="24"/>
      <w:bookmarkEnd w:id="25"/>
      <w:bookmarkEnd w:id="26"/>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3"/>
        <w:spacing w:before="0" w:after="0" w:line="360" w:lineRule="auto"/>
        <w:ind w:firstLine="482" w:firstLineChars="200"/>
        <w:rPr>
          <w:rFonts w:ascii="宋体" w:hAnsi="宋体" w:eastAsia="宋体" w:cs="宋体"/>
          <w:bCs w:val="0"/>
          <w:sz w:val="24"/>
          <w:szCs w:val="24"/>
        </w:rPr>
      </w:pPr>
      <w:bookmarkStart w:id="27" w:name="_Toc28359018"/>
      <w:bookmarkStart w:id="28" w:name="_Toc35393805"/>
      <w:bookmarkStart w:id="29" w:name="_Toc28099"/>
      <w:bookmarkStart w:id="30" w:name="_Toc28359095"/>
      <w:bookmarkStart w:id="31" w:name="_Toc35393636"/>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、凡对本次采购提出询问，请按以下方式联系。</w:t>
      </w:r>
      <w:bookmarkEnd w:id="27"/>
      <w:bookmarkEnd w:id="28"/>
      <w:bookmarkEnd w:id="29"/>
      <w:bookmarkEnd w:id="30"/>
      <w:bookmarkEnd w:id="31"/>
    </w:p>
    <w:p>
      <w:pPr>
        <w:spacing w:line="360" w:lineRule="auto"/>
        <w:ind w:firstLine="435"/>
        <w:outlineLvl w:val="2"/>
        <w:rPr>
          <w:rFonts w:ascii="宋体" w:hAnsi="宋体" w:eastAsia="宋体"/>
          <w:sz w:val="24"/>
          <w:szCs w:val="18"/>
        </w:rPr>
      </w:pPr>
      <w:bookmarkStart w:id="32"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2"/>
    </w:p>
    <w:p>
      <w:pPr>
        <w:spacing w:line="360" w:lineRule="auto"/>
        <w:jc w:val="center"/>
        <w:outlineLvl w:val="1"/>
        <w:rPr>
          <w:rFonts w:asciiTheme="minorEastAsia" w:hAnsiTheme="minorEastAsia" w:eastAsiaTheme="minorEastAsia"/>
          <w:b/>
          <w:sz w:val="24"/>
        </w:rPr>
      </w:pPr>
      <w:bookmarkStart w:id="33" w:name="_Toc11709"/>
      <w:bookmarkStart w:id="34" w:name="_Toc11383"/>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3"/>
      <w:bookmarkEnd w:id="34"/>
    </w:p>
    <w:p>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6"/>
        <w:tblW w:w="53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727"/>
        <w:gridCol w:w="5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2727"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465" w:type="dxa"/>
            <w:vAlign w:val="center"/>
          </w:tcPr>
          <w:p>
            <w:pPr>
              <w:pStyle w:val="19"/>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7" w:type="dxa"/>
            <w:vAlign w:val="center"/>
          </w:tcPr>
          <w:p>
            <w:pPr>
              <w:pStyle w:val="20"/>
              <w:pBdr>
                <w:bottom w:val="none" w:color="auto" w:sz="0" w:space="0"/>
              </w:pBdr>
              <w:tabs>
                <w:tab w:val="clear" w:pos="4153"/>
                <w:tab w:val="clear" w:pos="8306"/>
              </w:tabs>
              <w:adjustRightInd/>
              <w:spacing w:line="360" w:lineRule="auto"/>
              <w:jc w:val="center"/>
              <w:textAlignment w:val="auto"/>
              <w:rPr>
                <w:rFonts w:hint="eastAsia"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w:t>
            </w:r>
          </w:p>
        </w:tc>
        <w:tc>
          <w:tcPr>
            <w:tcW w:w="2727"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465" w:type="dxa"/>
            <w:vAlign w:val="center"/>
          </w:tcPr>
          <w:p>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727"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727"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727" w:type="dxa"/>
            <w:vAlign w:val="center"/>
          </w:tcPr>
          <w:p>
            <w:pPr>
              <w:pStyle w:val="19"/>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保证金</w:t>
            </w: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有效期</w:t>
            </w: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465" w:type="dxa"/>
            <w:vAlign w:val="center"/>
          </w:tcPr>
          <w:p>
            <w:pPr>
              <w:pStyle w:val="19"/>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谈判现场拆封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57" w:type="dxa"/>
            <w:vMerge w:val="restart"/>
            <w:vAlign w:val="center"/>
          </w:tcPr>
          <w:p>
            <w:pPr>
              <w:pStyle w:val="20"/>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7</w:t>
            </w:r>
          </w:p>
        </w:tc>
        <w:tc>
          <w:tcPr>
            <w:tcW w:w="2727" w:type="dxa"/>
            <w:vMerge w:val="restart"/>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5465" w:type="dxa"/>
            <w:vAlign w:val="center"/>
          </w:tcPr>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7" w:type="dxa"/>
            <w:vMerge w:val="continue"/>
            <w:vAlign w:val="center"/>
          </w:tcPr>
          <w:p>
            <w:pPr>
              <w:pStyle w:val="20"/>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2727" w:type="dxa"/>
            <w:vMerge w:val="continue"/>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p>
        </w:tc>
        <w:tc>
          <w:tcPr>
            <w:tcW w:w="5465"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采购人委托</w:t>
            </w: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 xml:space="preserve">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8</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465" w:type="dxa"/>
            <w:vAlign w:val="center"/>
          </w:tcPr>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9</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w:t>
            </w:r>
            <w:r>
              <w:rPr>
                <w:rFonts w:hint="eastAsia" w:ascii="宋体" w:hAnsi="宋体" w:eastAsia="宋体"/>
                <w:b w:val="0"/>
                <w:color w:val="auto"/>
                <w:sz w:val="24"/>
                <w:highlight w:val="none"/>
                <w:lang w:val="en-US" w:eastAsia="zh-CN"/>
              </w:rPr>
              <w:t>谈判</w:t>
            </w:r>
            <w:r>
              <w:rPr>
                <w:rFonts w:hint="eastAsia" w:ascii="宋体" w:hAnsi="宋体" w:eastAsia="宋体"/>
                <w:b w:val="0"/>
                <w:color w:val="auto"/>
                <w:sz w:val="24"/>
                <w:highlight w:val="none"/>
              </w:rPr>
              <w:t>结果的形式</w:t>
            </w:r>
          </w:p>
        </w:tc>
        <w:tc>
          <w:tcPr>
            <w:tcW w:w="5465"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727" w:type="dxa"/>
            <w:vAlign w:val="center"/>
          </w:tcPr>
          <w:p>
            <w:pPr>
              <w:pStyle w:val="19"/>
              <w:widowControl w:val="0"/>
              <w:spacing w:before="0" w:beforeAutospacing="0" w:after="0" w:afterAutospacing="0" w:line="360" w:lineRule="auto"/>
              <w:jc w:val="center"/>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465" w:type="dxa"/>
            <w:vAlign w:val="top"/>
          </w:tcPr>
          <w:p>
            <w:pPr>
              <w:spacing w:line="360" w:lineRule="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1.履约保证金数额：</w:t>
            </w:r>
            <w:r>
              <w:rPr>
                <w:rFonts w:hint="eastAsia" w:ascii="宋体" w:hAnsi="宋体" w:eastAsia="宋体" w:cs="宋体"/>
                <w:color w:val="auto"/>
                <w:sz w:val="24"/>
                <w:szCs w:val="24"/>
                <w:u w:val="single"/>
                <w:lang w:val="en-US" w:eastAsia="zh-CN"/>
              </w:rPr>
              <w:t xml:space="preserve">5万元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2.收受方式为：☑现金保证 ☑现金支票 </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银行汇票  </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银行转账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3.收受人为:采购人</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4.提交时限：合同签订前按规定提交履约保证金，若成交供应商在规定时限内未提交保证金的，采购人将书面通知成交供应商，5日内不能办理的，采购人将有权取消其成交资格。 </w:t>
            </w:r>
          </w:p>
          <w:p>
            <w:pPr>
              <w:spacing w:line="360" w:lineRule="auto"/>
              <w:rPr>
                <w:rFonts w:ascii="宋体" w:hAnsi="宋体" w:eastAsia="宋体" w:cs="@仿宋_GB2312"/>
                <w:b/>
                <w:bCs/>
                <w:color w:val="auto"/>
                <w:kern w:val="0"/>
                <w:sz w:val="24"/>
                <w:szCs w:val="28"/>
                <w:highlight w:val="none"/>
                <w:lang w:val="en-US" w:eastAsia="zh-CN" w:bidi="ar-SA"/>
              </w:rPr>
            </w:pPr>
            <w:r>
              <w:rPr>
                <w:rFonts w:hint="eastAsia" w:ascii="宋体" w:hAnsi="宋体" w:eastAsia="宋体" w:cs="宋体"/>
                <w:color w:val="auto"/>
                <w:sz w:val="24"/>
                <w:szCs w:val="24"/>
                <w:lang w:val="en-US" w:eastAsia="zh-CN"/>
              </w:rPr>
              <w:t>5.退还：</w:t>
            </w:r>
            <w:r>
              <w:rPr>
                <w:rFonts w:hint="eastAsia" w:ascii="宋体" w:hAnsi="宋体" w:eastAsia="宋体" w:cs="宋体"/>
                <w:color w:val="auto"/>
                <w:sz w:val="24"/>
                <w:szCs w:val="24"/>
                <w:u w:val="single"/>
                <w:lang w:val="en-US" w:eastAsia="zh-CN"/>
              </w:rPr>
              <w:t>合同期满后30日内无息退还。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11</w:t>
            </w:r>
          </w:p>
        </w:tc>
        <w:tc>
          <w:tcPr>
            <w:tcW w:w="2727"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465" w:type="dxa"/>
            <w:vAlign w:val="center"/>
          </w:tcPr>
          <w:p>
            <w:pPr>
              <w:pStyle w:val="19"/>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857" w:type="dxa"/>
            <w:vAlign w:val="center"/>
          </w:tcPr>
          <w:p>
            <w:pPr>
              <w:pStyle w:val="20"/>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12</w:t>
            </w:r>
          </w:p>
        </w:tc>
        <w:tc>
          <w:tcPr>
            <w:tcW w:w="2727" w:type="dxa"/>
            <w:vAlign w:val="center"/>
          </w:tcPr>
          <w:p>
            <w:pPr>
              <w:pStyle w:val="19"/>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465" w:type="dxa"/>
            <w:vAlign w:val="center"/>
          </w:tcPr>
          <w:p>
            <w:pPr>
              <w:pStyle w:val="1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9"/>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p>
          <w:p>
            <w:pPr>
              <w:pStyle w:val="19"/>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66671097      </w:t>
            </w:r>
          </w:p>
          <w:p>
            <w:pPr>
              <w:pStyle w:val="19"/>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 长丰县水湖镇长寿路91号长丰县人民医院  </w:t>
            </w:r>
          </w:p>
        </w:tc>
      </w:tr>
    </w:tbl>
    <w:p>
      <w:pPr>
        <w:pStyle w:val="5"/>
        <w:rPr>
          <w:rFonts w:hint="eastAsia"/>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bookmarkStart w:id="35" w:name="_Toc19440"/>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本项目的采购人已获得足以支付本次</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后所签订的合同项下的资金。</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费用</w:t>
      </w:r>
    </w:p>
    <w:p>
      <w:pPr>
        <w:spacing w:line="360" w:lineRule="auto"/>
        <w:ind w:firstLine="480" w:firstLineChars="200"/>
        <w:outlineLvl w:val="2"/>
        <w:rPr>
          <w:rFonts w:ascii="宋体" w:hAnsi="宋体" w:eastAsia="宋体"/>
          <w:sz w:val="24"/>
        </w:rPr>
      </w:pPr>
      <w:r>
        <w:rPr>
          <w:rFonts w:hint="eastAsia" w:ascii="宋体" w:hAnsi="宋体" w:eastAsia="宋体"/>
          <w:sz w:val="24"/>
        </w:rPr>
        <w:t>不论</w:t>
      </w:r>
      <w:r>
        <w:rPr>
          <w:rFonts w:hint="eastAsia" w:ascii="宋体" w:hAnsi="宋体" w:eastAsia="宋体"/>
          <w:sz w:val="24"/>
          <w:lang w:val="en-US" w:eastAsia="zh-CN"/>
        </w:rPr>
        <w:t>谈判</w:t>
      </w:r>
      <w:r>
        <w:rPr>
          <w:rFonts w:hint="eastAsia" w:ascii="宋体" w:hAnsi="宋体" w:eastAsia="宋体"/>
          <w:sz w:val="24"/>
        </w:rPr>
        <w:t>的结果如何，供应商应承担其所有与准备和参加</w:t>
      </w:r>
      <w:r>
        <w:rPr>
          <w:rFonts w:hint="eastAsia" w:ascii="宋体" w:hAnsi="宋体" w:eastAsia="宋体"/>
          <w:sz w:val="24"/>
          <w:lang w:val="en-US" w:eastAsia="zh-CN"/>
        </w:rPr>
        <w:t>谈判</w:t>
      </w:r>
      <w:r>
        <w:rPr>
          <w:rFonts w:hint="eastAsia" w:ascii="宋体" w:hAnsi="宋体" w:eastAsia="宋体"/>
          <w:sz w:val="24"/>
        </w:rPr>
        <w:t>有关的费用</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文件构成</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.1</w:t>
      </w:r>
      <w:r>
        <w:rPr>
          <w:rFonts w:hint="eastAsia" w:ascii="宋体" w:hAnsi="宋体" w:eastAsia="宋体"/>
          <w:sz w:val="24"/>
          <w:lang w:val="en-US" w:eastAsia="zh-CN"/>
        </w:rPr>
        <w:t>谈判</w:t>
      </w:r>
      <w:r>
        <w:rPr>
          <w:rFonts w:hint="eastAsia" w:ascii="宋体" w:hAnsi="宋体" w:eastAsia="宋体"/>
          <w:sz w:val="24"/>
        </w:rPr>
        <w:t>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.2</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w:t>
      </w:r>
      <w:r>
        <w:rPr>
          <w:rFonts w:hint="eastAsia" w:ascii="宋体" w:hAnsi="宋体" w:eastAsia="宋体"/>
          <w:sz w:val="24"/>
          <w:lang w:val="en-US" w:eastAsia="zh-CN"/>
        </w:rPr>
        <w:t>谈判</w:t>
      </w:r>
      <w:r>
        <w:rPr>
          <w:rFonts w:hint="eastAsia" w:ascii="宋体" w:hAnsi="宋体" w:eastAsia="宋体"/>
          <w:sz w:val="24"/>
        </w:rPr>
        <w:t>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全部采购需求所应提供的</w:t>
      </w:r>
      <w:r>
        <w:rPr>
          <w:rFonts w:hint="eastAsia" w:asciiTheme="minorEastAsia" w:hAnsiTheme="minorEastAsia" w:eastAsiaTheme="minorEastAsia"/>
          <w:sz w:val="24"/>
          <w:lang w:val="en-US" w:eastAsia="zh-CN"/>
        </w:rPr>
        <w:t>服务或</w:t>
      </w:r>
      <w:r>
        <w:rPr>
          <w:rFonts w:hint="eastAsia" w:asciiTheme="minorEastAsia" w:hAnsiTheme="minorEastAsia" w:eastAsiaTheme="minorEastAsia"/>
          <w:sz w:val="24"/>
        </w:rPr>
        <w:t>货物。除</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文件另有规定外，所有内容均应以人民币报价，供应商的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文件另有规定或经采购人同意支付的，最后报价均</w:t>
      </w:r>
      <w:r>
        <w:rPr>
          <w:rFonts w:asciiTheme="minorEastAsia" w:hAnsiTheme="minorEastAsia" w:eastAsiaTheme="minorEastAsia"/>
          <w:b/>
          <w:bCs/>
          <w:sz w:val="24"/>
        </w:rPr>
        <w:t>不得</w:t>
      </w:r>
      <w:r>
        <w:rPr>
          <w:rFonts w:hint="eastAsia" w:asciiTheme="minorEastAsia" w:hAnsiTheme="minorEastAsia" w:eastAsiaTheme="minorEastAsia"/>
          <w:b/>
          <w:bCs/>
          <w:sz w:val="24"/>
          <w:lang w:val="en-US" w:eastAsia="zh-CN"/>
        </w:rPr>
        <w:t>低</w:t>
      </w:r>
      <w:r>
        <w:rPr>
          <w:rFonts w:asciiTheme="minorEastAsia" w:hAnsiTheme="minorEastAsia" w:eastAsiaTheme="minorEastAsia"/>
          <w:b/>
          <w:bCs/>
          <w:sz w:val="24"/>
        </w:rPr>
        <w:t>于</w:t>
      </w:r>
      <w:r>
        <w:rPr>
          <w:rFonts w:hint="eastAsia" w:asciiTheme="minorEastAsia" w:hAnsiTheme="minorEastAsia" w:eastAsiaTheme="minorEastAsia"/>
          <w:b w:val="0"/>
          <w:bCs w:val="0"/>
          <w:sz w:val="24"/>
          <w:lang w:val="en-US" w:eastAsia="zh-CN"/>
        </w:rPr>
        <w:t>谈判</w:t>
      </w:r>
      <w:r>
        <w:rPr>
          <w:rFonts w:asciiTheme="minorEastAsia" w:hAnsiTheme="minorEastAsia" w:eastAsiaTheme="minorEastAsia"/>
          <w:sz w:val="24"/>
        </w:rPr>
        <w:t>文件（公告）列明的</w:t>
      </w:r>
      <w:r>
        <w:rPr>
          <w:rFonts w:hint="eastAsia" w:asciiTheme="minorEastAsia" w:hAnsiTheme="minorEastAsia" w:eastAsiaTheme="minorEastAsia"/>
          <w:b/>
          <w:bCs/>
          <w:sz w:val="24"/>
          <w:lang w:val="en-US" w:eastAsia="zh-CN"/>
        </w:rPr>
        <w:t>最低限价</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规定的解密时间对其响应文件进行解密。</w:t>
      </w:r>
    </w:p>
    <w:p>
      <w:pPr>
        <w:spacing w:line="360" w:lineRule="auto"/>
        <w:ind w:firstLine="435"/>
        <w:rPr>
          <w:rFonts w:ascii="宋体" w:hAnsi="宋体" w:eastAsia="宋体"/>
          <w:sz w:val="24"/>
        </w:rPr>
      </w:pPr>
      <w:r>
        <w:rPr>
          <w:rFonts w:hint="eastAsia" w:asciiTheme="minorEastAsia" w:hAnsiTheme="minorEastAsia" w:eastAsiaTheme="minorEastAsia"/>
          <w:sz w:val="24"/>
          <w:lang w:val="en-US" w:eastAsia="zh-CN"/>
        </w:rPr>
        <w:t>7.2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小组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.1本项目将组建</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小组，</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小组成员由</w:t>
      </w:r>
      <w:r>
        <w:rPr>
          <w:rFonts w:hint="eastAsia" w:asciiTheme="minorEastAsia" w:hAnsiTheme="minorEastAsia" w:eastAsiaTheme="minorEastAsia"/>
          <w:sz w:val="24"/>
          <w:lang w:val="en-US" w:eastAsia="zh-CN"/>
        </w:rPr>
        <w:t>5</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lang w:val="en-US" w:eastAsia="zh-CN"/>
        </w:rPr>
        <w:t>2谈判</w:t>
      </w:r>
      <w:r>
        <w:rPr>
          <w:rFonts w:asciiTheme="minorEastAsia" w:hAnsiTheme="minorEastAsia" w:eastAsiaTheme="minorEastAsia"/>
          <w:sz w:val="24"/>
        </w:rPr>
        <w:t>小组应当从质量和服务均能满足</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.响应文件的</w:t>
      </w:r>
      <w:r>
        <w:rPr>
          <w:rFonts w:hint="eastAsia" w:asciiTheme="minorEastAsia" w:hAnsiTheme="minorEastAsia" w:eastAsiaTheme="minorEastAsia"/>
          <w:b/>
          <w:sz w:val="24"/>
          <w:lang w:val="en-US" w:eastAsia="zh-CN"/>
        </w:rPr>
        <w:t>谈判</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asciiTheme="minorEastAsia" w:hAnsiTheme="minorEastAsia" w:eastAsiaTheme="minorEastAsia"/>
          <w:sz w:val="24"/>
        </w:rPr>
        <w:t>.</w:t>
      </w:r>
      <w:r>
        <w:rPr>
          <w:rFonts w:hint="eastAsia" w:asciiTheme="minorEastAsia" w:hAnsiTheme="minorEastAsia" w:eastAsiaTheme="minorEastAsia"/>
          <w:sz w:val="24"/>
        </w:rPr>
        <w:t>1采购人将在竞争性</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公告规定的时间和地点组织</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9</w:t>
      </w:r>
      <w:r>
        <w:rPr>
          <w:rFonts w:hint="eastAsia" w:asciiTheme="minorEastAsia" w:hAnsiTheme="minorEastAsia" w:eastAsiaTheme="minorEastAsia"/>
          <w:sz w:val="24"/>
        </w:rPr>
        <w:t>.2</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小组对供应商必须满足和实质性响应的内容进行评审，供应商未实质性响应</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文件要求导致响应无效的，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小组将以</w:t>
      </w:r>
      <w:r>
        <w:rPr>
          <w:rFonts w:hint="eastAsia" w:asciiTheme="minorEastAsia" w:hAnsiTheme="minorEastAsia" w:eastAsiaTheme="minorEastAsia"/>
          <w:sz w:val="24"/>
          <w:lang w:val="en-US" w:eastAsia="zh-CN"/>
        </w:rPr>
        <w:t>口头或</w:t>
      </w:r>
      <w:r>
        <w:rPr>
          <w:rFonts w:hint="eastAsia" w:asciiTheme="minorEastAsia" w:hAnsiTheme="minorEastAsia" w:eastAsiaTheme="minorEastAsia"/>
          <w:sz w:val="24"/>
        </w:rPr>
        <w:t>书面的方式告知有关供应商。</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9.3如供应商被</w:t>
      </w:r>
      <w:r>
        <w:rPr>
          <w:rFonts w:hint="eastAsia" w:ascii="宋体" w:hAnsi="宋体" w:eastAsia="宋体" w:cs="宋体"/>
          <w:sz w:val="24"/>
          <w:szCs w:val="24"/>
        </w:rPr>
        <w:t>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6"/>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9.4谈判</w:t>
      </w:r>
      <w:r>
        <w:rPr>
          <w:rFonts w:hint="eastAsia" w:asciiTheme="minorEastAsia" w:hAnsiTheme="minorEastAsia" w:eastAsiaTheme="minorEastAsia"/>
          <w:sz w:val="24"/>
        </w:rPr>
        <w:t>小组只对通过初审</w:t>
      </w:r>
      <w:r>
        <w:rPr>
          <w:rFonts w:hint="eastAsia" w:asciiTheme="minorEastAsia" w:hAnsiTheme="minorEastAsia"/>
          <w:sz w:val="24"/>
          <w:lang w:val="en-US" w:eastAsia="zh-CN"/>
        </w:rPr>
        <w:t>的供应商</w:t>
      </w:r>
      <w:r>
        <w:rPr>
          <w:rFonts w:hint="eastAsia" w:asciiTheme="minorEastAsia" w:hAnsiTheme="minorEastAsia" w:eastAsiaTheme="minorEastAsia"/>
          <w:sz w:val="24"/>
        </w:rPr>
        <w:t>，</w:t>
      </w:r>
      <w:r>
        <w:rPr>
          <w:rFonts w:hint="eastAsia" w:ascii="宋体" w:hAnsi="宋体" w:eastAsia="宋体" w:cs="宋体"/>
          <w:kern w:val="2"/>
          <w:sz w:val="24"/>
          <w:szCs w:val="24"/>
          <w:lang w:val="en-US" w:eastAsia="zh-CN" w:bidi="ar-SA"/>
        </w:rPr>
        <w:t>要求其他提交最后报价。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9.5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10</w:t>
      </w:r>
      <w:r>
        <w:rPr>
          <w:rFonts w:asciiTheme="minorEastAsia" w:hAnsiTheme="minorEastAsia" w:eastAsiaTheme="minorEastAsia"/>
          <w:b/>
          <w:sz w:val="24"/>
        </w:rPr>
        <w:t>.终止竞争性</w:t>
      </w:r>
      <w:r>
        <w:rPr>
          <w:rFonts w:hint="eastAsia" w:asciiTheme="minorEastAsia" w:hAnsiTheme="minorEastAsia" w:eastAsiaTheme="minorEastAsia"/>
          <w:b/>
          <w:sz w:val="24"/>
          <w:lang w:val="en-US" w:eastAsia="zh-CN"/>
        </w:rPr>
        <w:t>谈判</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.1出现下列情况之一时，采购人有权宣布终止竞争性</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（3）因重大变故，采购任务取消的；</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并不限定只进行二轮报价，如果</w:t>
      </w:r>
      <w:r>
        <w:rPr>
          <w:rFonts w:hint="eastAsia" w:asciiTheme="minorEastAsia" w:hAnsiTheme="minorEastAsia" w:eastAsiaTheme="minorEastAsia"/>
          <w:sz w:val="24"/>
          <w:lang w:val="en-US" w:eastAsia="zh-CN"/>
        </w:rPr>
        <w:t>谈判</w:t>
      </w:r>
      <w:r>
        <w:rPr>
          <w:rFonts w:asciiTheme="minorEastAsia" w:hAnsiTheme="minorEastAsia" w:eastAsiaTheme="minorEastAsia"/>
          <w:sz w:val="24"/>
        </w:rPr>
        <w:t>小组认为有必要，可以要求供应商进行多轮报价。</w:t>
      </w:r>
    </w:p>
    <w:p>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b/>
          <w:bCs/>
          <w:sz w:val="24"/>
        </w:rPr>
        <w:t>1</w:t>
      </w: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.2</w:t>
      </w:r>
      <w:r>
        <w:rPr>
          <w:rFonts w:asciiTheme="minorEastAsia" w:hAnsiTheme="minorEastAsia" w:eastAsiaTheme="minorEastAsia"/>
          <w:b/>
          <w:bCs/>
          <w:sz w:val="24"/>
        </w:rPr>
        <w:t>在</w:t>
      </w:r>
      <w:r>
        <w:rPr>
          <w:rFonts w:hint="eastAsia" w:asciiTheme="minorEastAsia" w:hAnsiTheme="minorEastAsia" w:eastAsiaTheme="minorEastAsia"/>
          <w:b/>
          <w:bCs/>
          <w:sz w:val="24"/>
          <w:lang w:val="en-US" w:eastAsia="zh-CN"/>
        </w:rPr>
        <w:t>谈判</w:t>
      </w:r>
      <w:r>
        <w:rPr>
          <w:rFonts w:asciiTheme="minorEastAsia" w:hAnsiTheme="minorEastAsia" w:eastAsiaTheme="minorEastAsia"/>
          <w:b/>
          <w:bCs/>
          <w:sz w:val="24"/>
        </w:rPr>
        <w:t>内容不做实质性变更或重大调整的前提下，供应商下轮报价不得</w:t>
      </w:r>
      <w:r>
        <w:rPr>
          <w:rFonts w:hint="eastAsia" w:asciiTheme="minorEastAsia" w:hAnsiTheme="minorEastAsia" w:eastAsiaTheme="minorEastAsia"/>
          <w:b/>
          <w:bCs/>
          <w:sz w:val="24"/>
          <w:lang w:val="en-US" w:eastAsia="zh-CN"/>
        </w:rPr>
        <w:t>低</w:t>
      </w:r>
      <w:r>
        <w:rPr>
          <w:rFonts w:asciiTheme="minorEastAsia" w:hAnsiTheme="minorEastAsia" w:eastAsiaTheme="minorEastAsia"/>
          <w:b/>
          <w:bCs/>
          <w:sz w:val="24"/>
        </w:rPr>
        <w:t>于上一轮报价</w:t>
      </w:r>
      <w:r>
        <w:rPr>
          <w:rFonts w:hint="eastAsia" w:asciiTheme="minorEastAsia" w:hAnsiTheme="minorEastAsia" w:eastAsiaTheme="minorEastAsia"/>
          <w:b/>
          <w:bCs/>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2</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谈判</w:t>
      </w:r>
      <w:r>
        <w:rPr>
          <w:rFonts w:hint="eastAsia" w:asciiTheme="minorEastAsia" w:hAnsiTheme="minorEastAsia" w:eastAsiaTheme="minorEastAsia"/>
          <w:color w:val="auto"/>
          <w:sz w:val="24"/>
        </w:rPr>
        <w:t>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lang w:val="en-US" w:eastAsia="zh-CN"/>
        </w:rPr>
        <w:t>谈判</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w:t>
      </w:r>
      <w:r>
        <w:rPr>
          <w:rFonts w:hint="eastAsia" w:asciiTheme="minorEastAsia" w:hAnsiTheme="minorEastAsia" w:eastAsiaTheme="minorEastAsia"/>
          <w:b/>
          <w:bCs/>
          <w:color w:val="auto"/>
          <w:sz w:val="24"/>
          <w:lang w:val="en-US" w:eastAsia="zh-CN"/>
        </w:rPr>
        <w:t>最后报价</w:t>
      </w:r>
      <w:r>
        <w:rPr>
          <w:rFonts w:hint="eastAsia" w:asciiTheme="minorEastAsia" w:hAnsiTheme="minorEastAsia" w:eastAsiaTheme="minorEastAsia"/>
          <w:b/>
          <w:bCs/>
          <w:color w:val="auto"/>
          <w:sz w:val="24"/>
        </w:rPr>
        <w:t>由高到低</w:t>
      </w:r>
      <w:r>
        <w:rPr>
          <w:rFonts w:hint="eastAsia" w:asciiTheme="minorEastAsia" w:hAnsiTheme="minorEastAsia" w:eastAsiaTheme="minorEastAsia"/>
          <w:color w:val="auto"/>
          <w:sz w:val="24"/>
        </w:rPr>
        <w:t>依次推荐成交候选供应商。</w:t>
      </w:r>
      <w:r>
        <w:rPr>
          <w:rFonts w:hint="eastAsia" w:asciiTheme="minorEastAsia" w:hAnsiTheme="minorEastAsia" w:eastAsiaTheme="minorEastAsia"/>
          <w:color w:val="auto"/>
          <w:sz w:val="24"/>
          <w:highlight w:val="none"/>
        </w:rPr>
        <w:t>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pPr>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pPr>
        <w:spacing w:line="360" w:lineRule="auto"/>
        <w:ind w:firstLine="435"/>
        <w:rPr>
          <w:rFonts w:ascii="宋体" w:hAnsi="宋体" w:eastAsia="宋体"/>
          <w:color w:val="auto"/>
          <w:sz w:val="24"/>
          <w:highlight w:val="none"/>
        </w:rPr>
      </w:pPr>
      <w:r>
        <w:rPr>
          <w:rFonts w:hint="eastAsia" w:ascii="宋体" w:hAnsi="宋体" w:eastAsia="宋体"/>
          <w:sz w:val="24"/>
        </w:rPr>
        <w:t>1</w:t>
      </w:r>
      <w:r>
        <w:rPr>
          <w:rFonts w:hint="eastAsia" w:ascii="宋体" w:hAnsi="宋体" w:eastAsia="宋体"/>
          <w:sz w:val="24"/>
          <w:lang w:val="en-US" w:eastAsia="zh-CN"/>
        </w:rPr>
        <w:t>3</w:t>
      </w:r>
      <w:r>
        <w:rPr>
          <w:rFonts w:hint="eastAsia" w:ascii="宋体" w:hAnsi="宋体" w:eastAsia="宋体"/>
          <w:sz w:val="24"/>
        </w:rPr>
        <w:t>.1</w:t>
      </w:r>
      <w:r>
        <w:rPr>
          <w:rFonts w:hint="eastAsia" w:ascii="宋体" w:hAnsi="宋体" w:eastAsia="宋体"/>
          <w:color w:val="auto"/>
          <w:sz w:val="24"/>
          <w:highlight w:val="none"/>
        </w:rPr>
        <w:t>谈判小组按照最后报价由</w:t>
      </w:r>
      <w:r>
        <w:rPr>
          <w:rFonts w:hint="eastAsia" w:ascii="宋体" w:hAnsi="宋体" w:eastAsia="宋体"/>
          <w:color w:val="auto"/>
          <w:sz w:val="24"/>
          <w:highlight w:val="none"/>
          <w:lang w:val="en-US" w:eastAsia="zh-CN"/>
        </w:rPr>
        <w:t>高</w:t>
      </w:r>
      <w:r>
        <w:rPr>
          <w:rFonts w:hint="eastAsia" w:ascii="宋体" w:hAnsi="宋体" w:eastAsia="宋体"/>
          <w:color w:val="auto"/>
          <w:sz w:val="24"/>
          <w:highlight w:val="none"/>
        </w:rPr>
        <w:t>到</w:t>
      </w:r>
      <w:r>
        <w:rPr>
          <w:rFonts w:hint="eastAsia" w:ascii="宋体" w:hAnsi="宋体" w:eastAsia="宋体"/>
          <w:color w:val="auto"/>
          <w:sz w:val="24"/>
          <w:highlight w:val="none"/>
          <w:lang w:val="en-US" w:eastAsia="zh-CN"/>
        </w:rPr>
        <w:t>低</w:t>
      </w:r>
      <w:r>
        <w:rPr>
          <w:rFonts w:hint="eastAsia" w:ascii="宋体" w:hAnsi="宋体" w:eastAsia="宋体"/>
          <w:color w:val="auto"/>
          <w:sz w:val="24"/>
          <w:highlight w:val="none"/>
        </w:rPr>
        <w:t>的顺序确定成交候选人，并标明排列顺序。</w:t>
      </w:r>
      <w:r>
        <w:rPr>
          <w:rFonts w:hint="eastAsia" w:asciiTheme="minorEastAsia" w:hAnsiTheme="minorEastAsia" w:eastAsiaTheme="minorEastAsia"/>
          <w:color w:val="auto"/>
          <w:sz w:val="24"/>
          <w:highlight w:val="none"/>
          <w:lang w:val="en-US" w:eastAsia="zh-CN"/>
        </w:rPr>
        <w:t>谈判小组按照最后报价最高的供应商</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pPr>
        <w:spacing w:line="360" w:lineRule="auto"/>
        <w:ind w:firstLine="482" w:firstLineChars="200"/>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.1评审报告是根据全体</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小组成员签字的原始评审记录和评审结果编写的报告，评审报告由</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小组全体成员签字。对评审结论持有异议的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小组成员可以书面方式阐述其不同意见和理由。</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15</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16</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.1为体现“公开、公平、公正”的原则，</w:t>
      </w:r>
      <w:r>
        <w:rPr>
          <w:rFonts w:hint="eastAsia" w:asciiTheme="minorEastAsia" w:hAnsiTheme="minorEastAsia" w:eastAsiaTheme="minorEastAsia"/>
          <w:color w:val="auto"/>
          <w:sz w:val="24"/>
          <w:lang w:val="en-US" w:eastAsia="zh-CN"/>
        </w:rPr>
        <w:t>谈判</w:t>
      </w:r>
      <w:r>
        <w:rPr>
          <w:rFonts w:asciiTheme="minorEastAsia" w:hAnsiTheme="minorEastAsia" w:eastAsiaTheme="minorEastAsia"/>
          <w:color w:val="auto"/>
          <w:sz w:val="24"/>
        </w:rPr>
        <w:t>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5"/>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16</w:t>
      </w:r>
      <w:r>
        <w:rPr>
          <w:rFonts w:asciiTheme="minorEastAsia" w:hAnsiTheme="minorEastAsia" w:eastAsiaTheme="minorEastAsia"/>
          <w:color w:val="auto"/>
          <w:sz w:val="24"/>
        </w:rPr>
        <w:t>.2成交结果公告内容应当包括采购人的名称、地址、联系方式，项目名称和项目编号，成交供应商名称、地址和成交金额</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sz w:val="24"/>
        </w:rPr>
        <w:t>成交结果公告期限</w:t>
      </w:r>
      <w:r>
        <w:rPr>
          <w:rFonts w:hint="eastAsia" w:asciiTheme="minorEastAsia" w:hAnsiTheme="minorEastAsia" w:eastAsiaTheme="minorEastAsia"/>
          <w:color w:val="auto"/>
          <w:sz w:val="24"/>
          <w:lang w:val="en-US" w:eastAsia="zh-CN"/>
        </w:rPr>
        <w:t>等</w:t>
      </w:r>
      <w:r>
        <w:rPr>
          <w:rFonts w:asciiTheme="minorEastAsia" w:hAnsiTheme="minorEastAsia" w:eastAsiaTheme="minorEastAsia"/>
          <w:color w:val="auto"/>
          <w:sz w:val="24"/>
        </w:rPr>
        <w:t>内容。</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17</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hint="eastAsia" w:ascii="宋体" w:hAnsi="宋体" w:eastAsia="宋体"/>
          <w:color w:val="auto"/>
          <w:sz w:val="24"/>
          <w:lang w:val="en-US" w:eastAsia="zh-CN"/>
        </w:rPr>
        <w:t>17</w:t>
      </w:r>
      <w:r>
        <w:rPr>
          <w:rFonts w:ascii="宋体" w:hAnsi="宋体" w:eastAsia="宋体"/>
          <w:color w:val="auto"/>
          <w:sz w:val="24"/>
        </w:rPr>
        <w:t>.1采购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rPr>
        <w:t>供应商须知前附表</w:t>
      </w:r>
      <w:r>
        <w:rPr>
          <w:rFonts w:hint="eastAsia" w:asciiTheme="minorEastAsia" w:hAnsiTheme="minorEastAsia" w:eastAsiaTheme="minorEastAsia"/>
          <w:color w:val="auto"/>
          <w:sz w:val="24"/>
        </w:rPr>
        <w:t>规定的</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5"/>
        <w:rPr>
          <w:rFonts w:ascii="宋体" w:hAnsi="宋体" w:eastAsia="宋体"/>
          <w:sz w:val="24"/>
        </w:rPr>
      </w:pPr>
      <w:r>
        <w:rPr>
          <w:rFonts w:hint="eastAsia" w:ascii="宋体" w:hAnsi="宋体" w:eastAsia="宋体"/>
          <w:sz w:val="24"/>
          <w:lang w:val="en-US" w:eastAsia="zh-CN"/>
        </w:rPr>
        <w:t>17</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.告知</w:t>
      </w:r>
      <w:r>
        <w:rPr>
          <w:rFonts w:hint="eastAsia" w:ascii="宋体" w:hAnsi="宋体" w:eastAsia="宋体"/>
          <w:b/>
          <w:sz w:val="24"/>
          <w:lang w:val="en-US" w:eastAsia="zh-CN"/>
        </w:rPr>
        <w:t>谈判</w:t>
      </w:r>
      <w:r>
        <w:rPr>
          <w:rFonts w:ascii="宋体" w:hAnsi="宋体" w:eastAsia="宋体"/>
          <w:b/>
          <w:sz w:val="24"/>
        </w:rPr>
        <w:t>结果</w:t>
      </w:r>
    </w:p>
    <w:p>
      <w:pPr>
        <w:pStyle w:val="19"/>
        <w:widowControl w:val="0"/>
        <w:spacing w:before="0" w:beforeAutospacing="0" w:after="0" w:afterAutospacing="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供应商自行登录采购公告发布网站查看</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19</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.2</w:t>
      </w:r>
      <w:r>
        <w:rPr>
          <w:rFonts w:hint="eastAsia" w:ascii="宋体" w:hAnsi="宋体" w:eastAsia="宋体"/>
          <w:color w:val="auto"/>
          <w:sz w:val="24"/>
          <w:lang w:val="en-US" w:eastAsia="zh-CN"/>
        </w:rPr>
        <w:t>谈判</w:t>
      </w:r>
      <w:r>
        <w:rPr>
          <w:rFonts w:ascii="宋体" w:hAnsi="宋体" w:eastAsia="宋体"/>
          <w:color w:val="auto"/>
          <w:sz w:val="24"/>
        </w:rPr>
        <w:t>文件、成交供应商的响应文件及其澄清文件等，均为签订合同的依据。</w:t>
      </w:r>
    </w:p>
    <w:p>
      <w:pPr>
        <w:spacing w:line="360" w:lineRule="auto"/>
        <w:ind w:firstLine="437"/>
        <w:outlineLvl w:val="2"/>
        <w:rPr>
          <w:rFonts w:ascii="宋体" w:hAnsi="宋体" w:eastAsia="宋体"/>
          <w:color w:val="auto"/>
          <w:sz w:val="24"/>
        </w:rPr>
      </w:pPr>
      <w:r>
        <w:rPr>
          <w:rFonts w:hint="eastAsia" w:ascii="宋体" w:hAnsi="宋体" w:eastAsia="宋体"/>
          <w:color w:val="auto"/>
          <w:sz w:val="24"/>
          <w:lang w:val="en-US" w:eastAsia="zh-CN"/>
        </w:rPr>
        <w:t>19</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hint="eastAsia" w:ascii="宋体" w:hAnsi="宋体" w:eastAsia="宋体"/>
          <w:b/>
          <w:sz w:val="24"/>
        </w:rPr>
        <w:t>.合同转让和分包</w:t>
      </w:r>
    </w:p>
    <w:p>
      <w:pPr>
        <w:spacing w:line="360" w:lineRule="auto"/>
        <w:ind w:firstLine="480" w:firstLineChars="200"/>
      </w:pPr>
      <w:r>
        <w:rPr>
          <w:rFonts w:hint="eastAsia" w:ascii="宋体" w:hAnsi="宋体" w:eastAsia="宋体"/>
          <w:color w:val="auto"/>
          <w:sz w:val="24"/>
        </w:rPr>
        <w:t>合同的权利义务依法不得转让，但经甲方同意，</w:t>
      </w:r>
      <w:r>
        <w:rPr>
          <w:rFonts w:hint="eastAsia" w:ascii="宋体" w:hAnsi="宋体" w:eastAsia="宋体"/>
          <w:sz w:val="24"/>
        </w:rPr>
        <w:t>乙方可以依法采取分包方式 履行合同，即：依法可以将合同项下的部分非主体、非关键性工作分包给他人完 成，接受分包的人应当具备相应的资格条件，并不得再次分包，且乙方应就分包 项目向甲方负责，并与分包供应商就分包项目向甲方承担连带责任。</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21</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rPr>
        <w:t>2</w:t>
      </w:r>
      <w:r>
        <w:rPr>
          <w:rFonts w:hint="eastAsia" w:ascii="宋体" w:hAnsi="宋体" w:eastAsia="宋体"/>
          <w:b/>
          <w:sz w:val="24"/>
          <w:lang w:val="en-US" w:eastAsia="zh-CN"/>
        </w:rPr>
        <w:t>2</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2</w:t>
      </w:r>
      <w:r>
        <w:rPr>
          <w:rFonts w:hint="eastAsia" w:ascii="宋体" w:hAnsi="宋体" w:eastAsia="宋体"/>
          <w:sz w:val="24"/>
        </w:rPr>
        <w:t>.1供应商认为</w:t>
      </w:r>
      <w:r>
        <w:rPr>
          <w:rFonts w:hint="eastAsia" w:ascii="宋体" w:hAnsi="宋体" w:eastAsia="宋体"/>
          <w:sz w:val="24"/>
          <w:lang w:val="en-US" w:eastAsia="zh-CN"/>
        </w:rPr>
        <w:t>谈判</w:t>
      </w:r>
      <w:r>
        <w:rPr>
          <w:rFonts w:hint="eastAsia" w:ascii="宋体" w:hAnsi="宋体" w:eastAsia="宋体"/>
          <w:sz w:val="24"/>
        </w:rPr>
        <w:t>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2</w:t>
      </w:r>
      <w:r>
        <w:rPr>
          <w:rFonts w:hint="eastAsia" w:ascii="宋体" w:hAnsi="宋体" w:eastAsia="宋体"/>
          <w:sz w:val="24"/>
        </w:rPr>
        <w:t>.2质疑供应商按照《质疑函范本》格式（详见</w:t>
      </w:r>
      <w:r>
        <w:rPr>
          <w:rFonts w:hint="eastAsia" w:ascii="宋体" w:hAnsi="宋体" w:eastAsia="宋体"/>
          <w:sz w:val="24"/>
          <w:lang w:val="en-US" w:eastAsia="zh-CN"/>
        </w:rPr>
        <w:t>谈判</w:t>
      </w:r>
      <w:r>
        <w:rPr>
          <w:rFonts w:hint="eastAsia" w:ascii="宋体" w:hAnsi="宋体" w:eastAsia="宋体"/>
          <w:sz w:val="24"/>
        </w:rPr>
        <w:t>文件），在</w:t>
      </w:r>
      <w:r>
        <w:rPr>
          <w:rFonts w:hint="eastAsia" w:ascii="宋体" w:hAnsi="宋体" w:eastAsia="宋体"/>
          <w:sz w:val="24"/>
          <w:lang w:val="en-US" w:eastAsia="zh-CN"/>
        </w:rPr>
        <w:t>规定</w:t>
      </w:r>
      <w:r>
        <w:rPr>
          <w:rFonts w:hint="eastAsia" w:ascii="宋体" w:hAnsi="宋体" w:eastAsia="宋体"/>
          <w:sz w:val="24"/>
        </w:rPr>
        <w:t>质疑</w:t>
      </w:r>
      <w:r>
        <w:rPr>
          <w:rFonts w:hint="eastAsia" w:ascii="宋体" w:hAnsi="宋体" w:eastAsia="宋体"/>
          <w:sz w:val="24"/>
          <w:lang w:val="en-US" w:eastAsia="zh-CN"/>
        </w:rPr>
        <w:t>时间</w:t>
      </w:r>
      <w:r>
        <w:rPr>
          <w:rFonts w:hint="eastAsia" w:ascii="宋体" w:hAnsi="宋体" w:eastAsia="宋体"/>
          <w:sz w:val="24"/>
        </w:rPr>
        <w:t>内以书面形式提出质疑，超出法定质疑</w:t>
      </w:r>
      <w:r>
        <w:rPr>
          <w:rFonts w:hint="eastAsia" w:ascii="宋体" w:hAnsi="宋体" w:eastAsia="宋体"/>
          <w:sz w:val="24"/>
          <w:lang w:val="en-US" w:eastAsia="zh-CN"/>
        </w:rPr>
        <w:t>时间</w:t>
      </w:r>
      <w:r>
        <w:rPr>
          <w:rFonts w:hint="eastAsia" w:ascii="宋体" w:hAnsi="宋体" w:eastAsia="宋体"/>
          <w:sz w:val="24"/>
        </w:rPr>
        <w:t>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rPr>
        <w:t>2</w:t>
      </w:r>
      <w:r>
        <w:rPr>
          <w:rFonts w:hint="eastAsia" w:ascii="宋体" w:hAnsi="宋体" w:eastAsia="宋体"/>
          <w:sz w:val="24"/>
          <w:lang w:val="en-US" w:eastAsia="zh-CN"/>
        </w:rPr>
        <w:t>2</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第三章  采购需求</w:t>
      </w:r>
      <w:bookmarkEnd w:id="35"/>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ascii="宋体" w:hAnsi="宋体" w:eastAsia="宋体" w:cs="宋体"/>
          <w:sz w:val="24"/>
          <w:szCs w:val="24"/>
        </w:rPr>
      </w:pPr>
      <w:r>
        <w:rPr>
          <w:rFonts w:hint="eastAsia" w:ascii="宋体" w:hAnsi="宋体" w:eastAsia="宋体" w:cs="宋体"/>
          <w:sz w:val="24"/>
          <w:szCs w:val="24"/>
        </w:rPr>
        <w:t>本采购需求中提出的服务方案仅为参考，如无明确限制，供应商可以进行优化，提供满足采购人实际需要的更优（或者性能实质上不低于的）服务方案，且此方案须经</w:t>
      </w:r>
      <w:r>
        <w:rPr>
          <w:rFonts w:hint="eastAsia" w:ascii="宋体" w:hAnsi="宋体" w:eastAsia="宋体" w:cs="宋体"/>
          <w:sz w:val="24"/>
          <w:szCs w:val="24"/>
          <w:lang w:val="en-US" w:eastAsia="zh-CN"/>
        </w:rPr>
        <w:t>谈判</w:t>
      </w:r>
      <w:r>
        <w:rPr>
          <w:rFonts w:hint="eastAsia" w:ascii="宋体" w:hAnsi="宋体" w:eastAsia="宋体" w:cs="宋体"/>
          <w:sz w:val="24"/>
          <w:szCs w:val="24"/>
        </w:rPr>
        <w:t>小组评审认可。</w:t>
      </w:r>
    </w:p>
    <w:p>
      <w:pPr>
        <w:spacing w:line="360" w:lineRule="auto"/>
        <w:ind w:firstLine="482" w:firstLineChars="200"/>
        <w:outlineLvl w:val="1"/>
        <w:rPr>
          <w:rFonts w:ascii="宋体" w:hAnsi="宋体" w:eastAsia="宋体"/>
          <w:b/>
          <w:sz w:val="24"/>
          <w:szCs w:val="18"/>
        </w:rPr>
      </w:pPr>
      <w:r>
        <w:rPr>
          <w:rFonts w:hint="eastAsia" w:ascii="宋体" w:hAnsi="宋体" w:eastAsia="宋体"/>
          <w:b/>
          <w:sz w:val="24"/>
          <w:szCs w:val="18"/>
        </w:rPr>
        <w:t>一、采购需求前附表</w:t>
      </w:r>
    </w:p>
    <w:tbl>
      <w:tblPr>
        <w:tblStyle w:val="16"/>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813"/>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46" w:type="pct"/>
            <w:vAlign w:val="center"/>
          </w:tcPr>
          <w:p>
            <w:pPr>
              <w:pStyle w:val="1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73" w:type="pct"/>
            <w:vAlign w:val="center"/>
          </w:tcPr>
          <w:p>
            <w:pPr>
              <w:pStyle w:val="19"/>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46"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结算</w:t>
            </w:r>
            <w:r>
              <w:rPr>
                <w:rFonts w:hint="eastAsia" w:ascii="宋体" w:hAnsi="宋体" w:eastAsia="宋体"/>
                <w:b w:val="0"/>
                <w:color w:val="auto"/>
                <w:sz w:val="24"/>
                <w:highlight w:val="none"/>
              </w:rPr>
              <w:t>方式</w:t>
            </w:r>
          </w:p>
        </w:tc>
        <w:tc>
          <w:tcPr>
            <w:tcW w:w="3373" w:type="pct"/>
            <w:vAlign w:val="center"/>
          </w:tcPr>
          <w:p>
            <w:pPr>
              <w:spacing w:line="276" w:lineRule="auto"/>
              <w:jc w:val="left"/>
              <w:rPr>
                <w:rFonts w:ascii="宋体" w:hAnsi="宋体" w:eastAsia="宋体"/>
                <w:b w:val="0"/>
                <w:color w:val="auto"/>
                <w:sz w:val="24"/>
                <w:highlight w:val="none"/>
                <w:u w:val="single"/>
              </w:rPr>
            </w:pPr>
            <w:r>
              <w:rPr>
                <w:rFonts w:hint="eastAsia" w:asciiTheme="minorEastAsia" w:hAnsiTheme="minorEastAsia" w:eastAsiaTheme="minorEastAsia"/>
                <w:color w:val="auto"/>
                <w:sz w:val="24"/>
                <w:highlight w:val="none"/>
                <w:u w:val="single"/>
                <w:lang w:val="en-US" w:eastAsia="zh-CN"/>
              </w:rPr>
              <w:t>成交供应商每半年按照回收清单上的数量及成交价格据实结算，将回收费用转账至医院账户。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46"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373" w:type="pct"/>
            <w:vAlign w:val="center"/>
          </w:tcPr>
          <w:p>
            <w:pPr>
              <w:pStyle w:val="19"/>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0" w:type="pct"/>
            <w:vAlign w:val="center"/>
          </w:tcPr>
          <w:p>
            <w:pPr>
              <w:pStyle w:val="20"/>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46" w:type="pct"/>
            <w:vAlign w:val="center"/>
          </w:tcPr>
          <w:p>
            <w:pPr>
              <w:pStyle w:val="19"/>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373" w:type="pct"/>
            <w:vAlign w:val="center"/>
          </w:tcPr>
          <w:p>
            <w:pPr>
              <w:spacing w:line="360" w:lineRule="auto"/>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自合同签订之日起1年。合同履约完成后，经采购人考核合格且双方同意的前提下，可续签下一年度合同，合同一年一签，最多续签两次，合同金额不变。</w:t>
            </w:r>
          </w:p>
        </w:tc>
      </w:tr>
    </w:tbl>
    <w:p>
      <w:pPr>
        <w:spacing w:line="360" w:lineRule="auto"/>
        <w:ind w:firstLine="482" w:firstLineChars="200"/>
        <w:outlineLvl w:val="1"/>
        <w:rPr>
          <w:rFonts w:ascii="宋体" w:hAnsi="宋体" w:eastAsia="宋体"/>
          <w:b/>
          <w:color w:val="auto"/>
          <w:sz w:val="24"/>
          <w:szCs w:val="18"/>
          <w:highlight w:val="none"/>
        </w:rPr>
      </w:pPr>
      <w:bookmarkStart w:id="36" w:name="_Toc25144"/>
      <w:bookmarkStart w:id="37" w:name="_Toc23116"/>
      <w:r>
        <w:rPr>
          <w:rFonts w:hint="eastAsia" w:ascii="宋体" w:hAnsi="宋体" w:eastAsia="宋体"/>
          <w:b/>
          <w:color w:val="auto"/>
          <w:sz w:val="24"/>
          <w:szCs w:val="18"/>
          <w:highlight w:val="none"/>
        </w:rPr>
        <w:t>二、项目概况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ascii="宋体" w:hAnsi="宋体" w:eastAsia="宋体" w:cs="宋体"/>
          <w:color w:val="auto"/>
          <w:kern w:val="0"/>
          <w:sz w:val="24"/>
          <w:szCs w:val="24"/>
          <w:lang w:val="en-US" w:eastAsia="zh-CN" w:bidi="ar"/>
        </w:rPr>
        <w:t xml:space="preserve">本项目要求供应商能环保回收处置采购人在医疗活动中产生的未被污染的可回收医疗废品，包括但不限于一次性塑料输液瓶（袋）、透析药桶、医用玻璃瓶等，医院提供回收物暂存点。供应商须有回收处理未被污染的一次性输液瓶（袋）、透析药桶的资质及处理设备设施，确保回收物得到环保、规范处置。 </w:t>
      </w:r>
    </w:p>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三、服务需求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ascii="宋体" w:hAnsi="宋体" w:eastAsia="宋体" w:cs="宋体"/>
          <w:color w:val="auto"/>
          <w:kern w:val="0"/>
          <w:sz w:val="24"/>
          <w:szCs w:val="24"/>
          <w:lang w:val="en-US" w:eastAsia="zh-CN" w:bidi="ar"/>
        </w:rPr>
        <w:t>1.供应商对回收废品的处置必须符合相关的法律法规、环保及消防等要求和规定。以不危害人体健康为原则，不能用于原用途。再生产品禁止用于：包括但不限于食品、医疗卫生、玩具、文具等行业，因供应商违约所造成的一切法律后果，由供应商承担，与采购人无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ascii="宋体" w:hAnsi="宋体" w:eastAsia="宋体" w:cs="宋体"/>
          <w:color w:val="auto"/>
          <w:kern w:val="0"/>
          <w:sz w:val="24"/>
          <w:szCs w:val="24"/>
          <w:lang w:val="en-US" w:eastAsia="zh-CN" w:bidi="ar"/>
        </w:rPr>
        <w:t xml:space="preserve">2.供应商禁止回收采购人产生的不可回收的一次性医疗废弃物及医疗垃圾。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olor w:val="auto"/>
          <w:lang w:val="en-US"/>
        </w:rPr>
      </w:pPr>
      <w:r>
        <w:rPr>
          <w:rFonts w:hint="eastAsia" w:ascii="宋体" w:hAnsi="宋体" w:eastAsia="宋体" w:cs="宋体"/>
          <w:color w:val="auto"/>
          <w:kern w:val="0"/>
          <w:sz w:val="24"/>
          <w:szCs w:val="24"/>
          <w:lang w:val="en-US" w:eastAsia="zh-CN" w:bidi="ar"/>
        </w:rPr>
        <w:t>3.每次回收后，供应商须开具回收清单，双方人员签字确认。清单内容包括：可回收医疗废弃物产生科室、废物重量、种类、回收时间等信息。每半年凭回收清单到医院进行汇总统计。供应商依据汇总后的费用明细交至采购人账户（转账成功后，采购人可提供收据，不提供发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rPr>
      </w:pPr>
      <w:r>
        <w:rPr>
          <w:rFonts w:hint="eastAsia" w:ascii="宋体" w:hAnsi="宋体" w:eastAsia="宋体" w:cs="宋体"/>
          <w:color w:val="auto"/>
          <w:kern w:val="0"/>
          <w:sz w:val="24"/>
          <w:szCs w:val="24"/>
          <w:lang w:val="en-US" w:eastAsia="zh-CN" w:bidi="ar"/>
        </w:rPr>
        <w:t xml:space="preserve">4.供应商工作人员须遵守采购人的相关管理制度。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5.供应商必须保证及时清运医院产生的可回收医废物品，做到清运及时，不得积压。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6.供应商工作人员在回收过程中，须做好职业卫生健康的自我防护工作，并确保院方工作人员的人身安全。供应商在合同履行过程中所发生的一切安全事故由供应商负责。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7.供应商需配置负责收集、运送、暂存和外运处置所需的人力、工具、车辆、包装袋等。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b/>
          <w:color w:val="auto"/>
          <w:sz w:val="24"/>
          <w:szCs w:val="18"/>
          <w:highlight w:val="none"/>
          <w:lang w:val="en-US" w:eastAsia="zh-CN"/>
        </w:rPr>
      </w:pPr>
      <w:r>
        <w:rPr>
          <w:rFonts w:hint="eastAsia" w:ascii="宋体" w:hAnsi="宋体" w:eastAsia="宋体" w:cs="宋体"/>
          <w:color w:val="auto"/>
          <w:kern w:val="0"/>
          <w:sz w:val="24"/>
          <w:szCs w:val="24"/>
          <w:highlight w:val="none"/>
          <w:lang w:val="en-US" w:eastAsia="zh-CN" w:bidi="ar"/>
        </w:rPr>
        <w:t>8.医院各科室产生的未被污染输液瓶（袋）、透析药桶由供应商负责去各科室及时收集、转运、规范处置，同时为医院医用玻璃瓶提供免费无公害处理。</w:t>
      </w:r>
    </w:p>
    <w:p>
      <w:pPr>
        <w:numPr>
          <w:ilvl w:val="0"/>
          <w:numId w:val="0"/>
        </w:numPr>
        <w:tabs>
          <w:tab w:val="left" w:pos="304"/>
        </w:tabs>
        <w:spacing w:line="360" w:lineRule="auto"/>
        <w:ind w:firstLine="482" w:firstLineChars="200"/>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本项目按输液瓶（袋）和透析药桶的最低限价报价，供应商报价不设上限，</w:t>
      </w:r>
      <w:r>
        <w:rPr>
          <w:rFonts w:hint="eastAsia" w:ascii="宋体" w:hAnsi="宋体" w:eastAsia="宋体" w:cs="宋体"/>
          <w:b/>
          <w:bCs/>
          <w:color w:val="auto"/>
          <w:kern w:val="0"/>
          <w:sz w:val="24"/>
          <w:szCs w:val="24"/>
          <w:lang w:val="en-US" w:eastAsia="zh-CN" w:bidi="ar"/>
        </w:rPr>
        <w:t>但报价不得低于本项目最低限价</w:t>
      </w:r>
      <w:r>
        <w:rPr>
          <w:rFonts w:hint="eastAsia" w:ascii="宋体" w:hAnsi="宋体" w:eastAsia="宋体" w:cs="宋体"/>
          <w:color w:val="auto"/>
          <w:kern w:val="0"/>
          <w:sz w:val="24"/>
          <w:szCs w:val="24"/>
          <w:lang w:val="en-US" w:eastAsia="zh-CN" w:bidi="ar"/>
        </w:rPr>
        <w:t>：输液瓶（袋）1.00元/kg</w:t>
      </w:r>
      <w:r>
        <w:rPr>
          <w:rFonts w:hint="eastAsia" w:ascii="宋体" w:hAnsi="宋体" w:eastAsia="宋体" w:cs="宋体"/>
          <w:color w:val="auto"/>
          <w:sz w:val="24"/>
          <w:szCs w:val="24"/>
          <w:lang w:val="en-US" w:eastAsia="zh-CN"/>
        </w:rPr>
        <w:t>（回收物去除20%残留药液）；透析药桶1.00元/个。</w:t>
      </w:r>
      <w:r>
        <w:rPr>
          <w:rFonts w:hint="eastAsia" w:ascii="宋体" w:hAnsi="宋体" w:eastAsia="宋体" w:cs="宋体"/>
          <w:b/>
          <w:bCs/>
          <w:color w:val="auto"/>
          <w:sz w:val="24"/>
          <w:szCs w:val="24"/>
          <w:lang w:val="en-US" w:eastAsia="zh-CN"/>
        </w:rPr>
        <w:t>否则视为响应无效。</w:t>
      </w:r>
    </w:p>
    <w:bookmarkEnd w:id="36"/>
    <w:bookmarkEnd w:id="37"/>
    <w:p>
      <w:pPr>
        <w:pStyle w:val="6"/>
        <w:numPr>
          <w:ilvl w:val="0"/>
          <w:numId w:val="0"/>
        </w:numPr>
        <w:ind w:leftChars="200"/>
        <w:rPr>
          <w:rFonts w:hint="eastAsia" w:ascii="宋体" w:hAnsi="宋体" w:eastAsia="宋体" w:cs="@仿宋_GB2312"/>
          <w:b/>
          <w:color w:val="auto"/>
          <w:kern w:val="2"/>
          <w:sz w:val="24"/>
          <w:szCs w:val="18"/>
          <w:highlight w:val="none"/>
          <w:lang w:val="en-US" w:eastAsia="zh-CN" w:bidi="ar-SA"/>
        </w:rPr>
      </w:pPr>
      <w:r>
        <w:rPr>
          <w:rFonts w:hint="eastAsia" w:ascii="宋体" w:hAnsi="宋体" w:eastAsia="宋体" w:cs="@仿宋_GB2312"/>
          <w:b/>
          <w:color w:val="auto"/>
          <w:kern w:val="2"/>
          <w:sz w:val="24"/>
          <w:szCs w:val="18"/>
          <w:highlight w:val="none"/>
          <w:lang w:val="en-US" w:eastAsia="zh-CN" w:bidi="ar-SA"/>
        </w:rPr>
        <w:t>五、其他要求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1.成交供应商需在合同签订前缴纳履约保证金伍万元整,服务期满后30日内无息退还。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2.根据安徽省卫生和健康委员会、安徽省环境保护厅《关于做好全省医疗卫生机构使用后未被污染一次性输液瓶（袋）管理工作的通知》（卫医秘〔2018〕167 号）、合肥市卫生健康委员会、合肥市环境保护局《关于进一步做好全市医疗卫生机构使用后未被污染一次性输液瓶（袋）管理工作的通知》（合卫办〔2018〕222) 号等文件要求，供应商须严格规范我院使用后未被污染一次性输液瓶（袋）、透析药桶的处置工作。</w:t>
      </w:r>
    </w:p>
    <w:p>
      <w:pPr>
        <w:numPr>
          <w:ilvl w:val="0"/>
          <w:numId w:val="0"/>
        </w:numPr>
        <w:ind w:leftChars="200"/>
        <w:rPr>
          <w:rFonts w:hint="default"/>
          <w:color w:val="FF0000"/>
          <w:lang w:val="en-US" w:eastAsia="zh-CN"/>
        </w:rPr>
      </w:pPr>
    </w:p>
    <w:p>
      <w:pPr>
        <w:spacing w:line="360" w:lineRule="auto"/>
        <w:jc w:val="center"/>
        <w:outlineLvl w:val="0"/>
        <w:rPr>
          <w:rFonts w:hint="eastAsia" w:asciiTheme="minorEastAsia" w:hAnsiTheme="minorEastAsia" w:eastAsiaTheme="minorEastAsia"/>
          <w:b/>
          <w:sz w:val="28"/>
        </w:rPr>
      </w:pPr>
      <w:bookmarkStart w:id="38" w:name="_Toc8668"/>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38"/>
    </w:p>
    <w:p>
      <w:pPr>
        <w:spacing w:line="360" w:lineRule="auto"/>
        <w:ind w:firstLine="437"/>
        <w:outlineLvl w:val="1"/>
        <w:rPr>
          <w:rFonts w:asciiTheme="minorEastAsia" w:hAnsiTheme="minorEastAsia" w:eastAsiaTheme="minorEastAsia"/>
          <w:b/>
          <w:sz w:val="24"/>
        </w:rPr>
      </w:pPr>
      <w:bookmarkStart w:id="39" w:name="_Toc13039"/>
      <w:bookmarkStart w:id="40" w:name="_Toc16885"/>
      <w:r>
        <w:rPr>
          <w:rFonts w:hint="eastAsia" w:asciiTheme="minorEastAsia" w:hAnsiTheme="minorEastAsia" w:eastAsiaTheme="minorEastAsia"/>
          <w:b/>
          <w:sz w:val="24"/>
          <w:lang w:val="en-US" w:eastAsia="zh-CN"/>
        </w:rPr>
        <w:t>一</w:t>
      </w:r>
      <w:r>
        <w:rPr>
          <w:rFonts w:hint="eastAsia" w:asciiTheme="minorEastAsia" w:hAnsiTheme="minorEastAsia" w:eastAsiaTheme="minorEastAsia"/>
          <w:b/>
          <w:sz w:val="24"/>
        </w:rPr>
        <w:t>、评审方法</w:t>
      </w:r>
      <w:bookmarkEnd w:id="39"/>
      <w:bookmarkEnd w:id="40"/>
    </w:p>
    <w:p>
      <w:pPr>
        <w:spacing w:line="360" w:lineRule="auto"/>
        <w:ind w:firstLine="435"/>
        <w:outlineLvl w:val="2"/>
        <w:rPr>
          <w:rFonts w:asciiTheme="minorEastAsia" w:hAnsiTheme="minorEastAsia" w:eastAsiaTheme="minorEastAsia"/>
          <w:b/>
          <w:bCs/>
          <w:sz w:val="24"/>
        </w:rPr>
      </w:pPr>
      <w:r>
        <w:rPr>
          <w:rFonts w:hint="eastAsia" w:asciiTheme="minorEastAsia" w:hAnsiTheme="minorEastAsia" w:eastAsiaTheme="minorEastAsia"/>
          <w:b/>
          <w:bCs/>
          <w:sz w:val="24"/>
          <w:lang w:val="en-US" w:eastAsia="zh-CN"/>
        </w:rPr>
        <w:t>1.</w:t>
      </w:r>
      <w:r>
        <w:rPr>
          <w:rFonts w:hint="eastAsia" w:asciiTheme="minorEastAsia" w:hAnsiTheme="minorEastAsia" w:eastAsiaTheme="minorEastAsia"/>
          <w:b/>
          <w:bCs/>
          <w:sz w:val="24"/>
        </w:rPr>
        <w:t>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小组对供应商的响应文件进行初审，以确定其是否满足</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文件的实质性要求。初审表如下：</w:t>
      </w:r>
    </w:p>
    <w:tbl>
      <w:tblPr>
        <w:tblStyle w:val="16"/>
        <w:tblW w:w="50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04"/>
        <w:gridCol w:w="3404"/>
        <w:gridCol w:w="3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b/>
                <w:color w:val="auto"/>
                <w:sz w:val="21"/>
                <w:szCs w:val="21"/>
                <w:highlight w:val="none"/>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序号</w:t>
            </w:r>
          </w:p>
        </w:tc>
        <w:tc>
          <w:tcPr>
            <w:tcW w:w="761" w:type="pct"/>
            <w:tcBorders>
              <w:bottom w:val="single" w:color="auto" w:sz="4" w:space="0"/>
            </w:tcBorders>
            <w:vAlign w:val="center"/>
          </w:tcPr>
          <w:p>
            <w:pPr>
              <w:pStyle w:val="20"/>
              <w:pBdr>
                <w:bottom w:val="none" w:color="auto" w:sz="0" w:space="0"/>
              </w:pBdr>
              <w:tabs>
                <w:tab w:val="clear" w:pos="4153"/>
                <w:tab w:val="clear" w:pos="8306"/>
              </w:tabs>
              <w:snapToGrid w:val="0"/>
              <w:spacing w:line="360" w:lineRule="auto"/>
              <w:ind w:right="-10"/>
              <w:jc w:val="center"/>
              <w:textAlignment w:val="auto"/>
              <w:rPr>
                <w:rFonts w:ascii="宋体" w:hAnsi="宋体" w:eastAsia="宋体"/>
                <w:color w:val="auto"/>
                <w:kern w:val="2"/>
                <w:sz w:val="21"/>
                <w:szCs w:val="21"/>
                <w:highlight w:val="none"/>
              </w:rPr>
            </w:pPr>
            <w:r>
              <w:rPr>
                <w:rFonts w:hint="eastAsia" w:ascii="宋体" w:hAnsi="宋体" w:eastAsia="宋体"/>
                <w:color w:val="auto"/>
                <w:kern w:val="2"/>
                <w:sz w:val="21"/>
                <w:szCs w:val="21"/>
                <w:highlight w:val="none"/>
              </w:rPr>
              <w:t>审查指标</w:t>
            </w:r>
          </w:p>
        </w:tc>
        <w:tc>
          <w:tcPr>
            <w:tcW w:w="1987"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审查标准</w:t>
            </w:r>
          </w:p>
        </w:tc>
        <w:tc>
          <w:tcPr>
            <w:tcW w:w="183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1</w:t>
            </w:r>
          </w:p>
        </w:tc>
        <w:tc>
          <w:tcPr>
            <w:tcW w:w="761" w:type="pct"/>
            <w:tcBorders>
              <w:bottom w:val="single" w:color="auto" w:sz="4" w:space="0"/>
            </w:tcBorders>
            <w:vAlign w:val="center"/>
          </w:tcPr>
          <w:p>
            <w:pPr>
              <w:spacing w:after="50" w:line="360" w:lineRule="auto"/>
              <w:ind w:right="-10"/>
              <w:jc w:val="center"/>
              <w:rPr>
                <w:rFonts w:ascii="宋体" w:hAnsi="宋体" w:eastAsia="宋体"/>
                <w:color w:val="auto"/>
                <w:sz w:val="21"/>
                <w:szCs w:val="21"/>
                <w:highlight w:val="none"/>
              </w:rPr>
            </w:pPr>
            <w:r>
              <w:rPr>
                <w:rFonts w:ascii="宋体" w:hAnsi="宋体" w:eastAsia="宋体" w:cs="宋体"/>
                <w:color w:val="auto"/>
                <w:spacing w:val="9"/>
                <w:sz w:val="21"/>
                <w:szCs w:val="21"/>
                <w:highlight w:val="none"/>
              </w:rPr>
              <w:t>营业执照等证明</w:t>
            </w:r>
            <w:r>
              <w:rPr>
                <w:rFonts w:ascii="宋体" w:hAnsi="宋体" w:eastAsia="宋体" w:cs="宋体"/>
                <w:color w:val="auto"/>
                <w:spacing w:val="-3"/>
                <w:sz w:val="21"/>
                <w:szCs w:val="21"/>
                <w:highlight w:val="none"/>
              </w:rPr>
              <w:t>文件</w:t>
            </w:r>
          </w:p>
        </w:tc>
        <w:tc>
          <w:tcPr>
            <w:tcW w:w="1987" w:type="pct"/>
            <w:tcBorders>
              <w:bottom w:val="single" w:color="auto" w:sz="4" w:space="0"/>
            </w:tcBorders>
            <w:vAlign w:val="center"/>
          </w:tcPr>
          <w:p>
            <w:pPr>
              <w:spacing w:after="50" w:line="360" w:lineRule="auto"/>
              <w:ind w:right="-10"/>
              <w:jc w:val="both"/>
              <w:rPr>
                <w:rFonts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合法有效的证明文件</w:t>
            </w:r>
          </w:p>
        </w:tc>
        <w:tc>
          <w:tcPr>
            <w:tcW w:w="1836" w:type="pct"/>
            <w:vAlign w:val="center"/>
          </w:tcPr>
          <w:p>
            <w:pPr>
              <w:spacing w:line="360" w:lineRule="auto"/>
              <w:jc w:val="both"/>
              <w:rPr>
                <w:rFonts w:ascii="宋体" w:hAnsi="宋体" w:eastAsia="宋体"/>
                <w:color w:val="auto"/>
                <w:sz w:val="21"/>
                <w:szCs w:val="21"/>
                <w:highlight w:val="none"/>
              </w:rPr>
            </w:pPr>
            <w:r>
              <w:rPr>
                <w:rFonts w:hint="eastAsia" w:ascii="宋体" w:hAnsi="宋体" w:eastAsia="宋体" w:cs="宋体"/>
                <w:color w:val="auto"/>
                <w:sz w:val="21"/>
                <w:szCs w:val="21"/>
                <w:highlight w:val="none"/>
              </w:rPr>
              <w:t>提供材料扫描件或</w:t>
            </w:r>
            <w:r>
              <w:rPr>
                <w:rFonts w:hint="eastAsia" w:ascii="宋体" w:hAnsi="宋体" w:eastAsia="宋体" w:cs="宋体"/>
                <w:color w:val="auto"/>
                <w:sz w:val="21"/>
                <w:szCs w:val="21"/>
                <w:highlight w:val="none"/>
                <w:lang w:val="en-US" w:eastAsia="zh-CN"/>
              </w:rPr>
              <w:t>复印件并</w:t>
            </w:r>
            <w:r>
              <w:rPr>
                <w:rFonts w:hint="eastAsia" w:ascii="宋体" w:hAnsi="宋体" w:eastAsia="宋体" w:cs="宋体"/>
                <w:b/>
                <w:bCs/>
                <w:color w:val="auto"/>
                <w:sz w:val="21"/>
                <w:szCs w:val="21"/>
                <w:highlight w:val="none"/>
                <w:lang w:val="en-US" w:eastAsia="zh-CN"/>
              </w:rPr>
              <w:t>加盖</w:t>
            </w:r>
            <w:r>
              <w:rPr>
                <w:rFonts w:hint="eastAsia" w:asciiTheme="minorEastAsia" w:hAnsiTheme="minorEastAsia" w:eastAsiaTheme="minorEastAsia"/>
                <w:b/>
                <w:bCs/>
                <w:color w:val="auto"/>
                <w:sz w:val="21"/>
                <w:szCs w:val="21"/>
                <w:highlight w:val="none"/>
              </w:rPr>
              <w:t>供应商</w:t>
            </w:r>
            <w:r>
              <w:rPr>
                <w:rFonts w:hint="eastAsia" w:ascii="宋体" w:hAnsi="宋体" w:eastAsia="宋体" w:cs="宋体"/>
                <w:b/>
                <w:bCs/>
                <w:color w:val="auto"/>
                <w:sz w:val="21"/>
                <w:szCs w:val="21"/>
                <w:highlight w:val="none"/>
                <w:lang w:val="en-US" w:eastAsia="zh-CN"/>
              </w:rPr>
              <w:t>章</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2</w:t>
            </w:r>
          </w:p>
        </w:tc>
        <w:tc>
          <w:tcPr>
            <w:tcW w:w="761" w:type="pct"/>
            <w:tcBorders>
              <w:bottom w:val="single" w:color="auto" w:sz="4" w:space="0"/>
            </w:tcBorders>
            <w:vAlign w:val="center"/>
          </w:tcPr>
          <w:p>
            <w:pPr>
              <w:spacing w:after="50"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供应商资格声明书</w:t>
            </w:r>
          </w:p>
        </w:tc>
        <w:tc>
          <w:tcPr>
            <w:tcW w:w="1987" w:type="pct"/>
            <w:tcBorders>
              <w:bottom w:val="single" w:color="auto" w:sz="4" w:space="0"/>
            </w:tcBorders>
            <w:vAlign w:val="center"/>
          </w:tcPr>
          <w:p>
            <w:pPr>
              <w:spacing w:after="50" w:line="360" w:lineRule="auto"/>
              <w:ind w:right="-10"/>
              <w:jc w:val="both"/>
              <w:rPr>
                <w:rFonts w:ascii="宋体" w:hAnsi="宋体" w:eastAsia="宋体"/>
                <w:color w:val="auto"/>
                <w:sz w:val="21"/>
                <w:szCs w:val="21"/>
                <w:highlight w:val="none"/>
              </w:rPr>
            </w:pPr>
            <w:r>
              <w:rPr>
                <w:rFonts w:hint="eastAsia" w:ascii="宋体" w:hAnsi="宋体" w:eastAsia="宋体" w:cs="宋体"/>
                <w:color w:val="auto"/>
                <w:sz w:val="21"/>
                <w:szCs w:val="21"/>
                <w:highlight w:val="none"/>
              </w:rPr>
              <w:t>提</w:t>
            </w:r>
            <w:r>
              <w:rPr>
                <w:rFonts w:ascii="宋体" w:hAnsi="宋体" w:eastAsia="宋体" w:cs="宋体"/>
                <w:color w:val="auto"/>
                <w:sz w:val="21"/>
                <w:szCs w:val="21"/>
                <w:highlight w:val="none"/>
              </w:rPr>
              <w:t>供符合</w:t>
            </w:r>
            <w:r>
              <w:rPr>
                <w:rFonts w:hint="eastAsia" w:ascii="宋体" w:hAnsi="宋体" w:eastAsia="宋体" w:cs="宋体"/>
                <w:color w:val="auto"/>
                <w:sz w:val="21"/>
                <w:szCs w:val="21"/>
                <w:highlight w:val="none"/>
                <w:lang w:val="en-US" w:eastAsia="zh-CN"/>
              </w:rPr>
              <w:t>谈判</w:t>
            </w:r>
            <w:r>
              <w:rPr>
                <w:rFonts w:ascii="宋体" w:hAnsi="宋体" w:eastAsia="宋体" w:cs="宋体"/>
                <w:color w:val="auto"/>
                <w:sz w:val="21"/>
                <w:szCs w:val="21"/>
                <w:highlight w:val="none"/>
              </w:rPr>
              <w:t>文件要求的《</w:t>
            </w:r>
            <w:r>
              <w:rPr>
                <w:rFonts w:hint="eastAsia" w:ascii="宋体" w:hAnsi="宋体" w:eastAsia="宋体" w:cs="宋体"/>
                <w:color w:val="auto"/>
                <w:sz w:val="21"/>
                <w:szCs w:val="21"/>
                <w:highlight w:val="none"/>
              </w:rPr>
              <w:t>供应商</w:t>
            </w:r>
            <w:r>
              <w:rPr>
                <w:rFonts w:ascii="宋体" w:hAnsi="宋体" w:eastAsia="宋体" w:cs="宋体"/>
                <w:color w:val="auto"/>
                <w:sz w:val="21"/>
                <w:szCs w:val="21"/>
                <w:highlight w:val="none"/>
              </w:rPr>
              <w:t>资格声明书》</w:t>
            </w:r>
            <w:r>
              <w:rPr>
                <w:rFonts w:hint="eastAsia" w:ascii="宋体" w:hAnsi="宋体" w:eastAsia="宋体" w:cs="宋体"/>
                <w:color w:val="auto"/>
                <w:sz w:val="21"/>
                <w:szCs w:val="21"/>
                <w:highlight w:val="none"/>
              </w:rPr>
              <w:t>。</w:t>
            </w:r>
          </w:p>
        </w:tc>
        <w:tc>
          <w:tcPr>
            <w:tcW w:w="1836" w:type="pct"/>
            <w:vAlign w:val="center"/>
          </w:tcPr>
          <w:p>
            <w:pPr>
              <w:spacing w:line="360" w:lineRule="auto"/>
              <w:jc w:val="both"/>
              <w:rPr>
                <w:rFonts w:ascii="宋体" w:hAnsi="宋体" w:eastAsia="宋体" w:cs="宋体"/>
                <w:color w:val="auto"/>
                <w:sz w:val="21"/>
                <w:szCs w:val="21"/>
                <w:highlight w:val="none"/>
              </w:rPr>
            </w:pPr>
            <w:r>
              <w:rPr>
                <w:rFonts w:hint="eastAsia" w:ascii="宋体" w:hAnsi="宋体" w:eastAsia="宋体"/>
                <w:color w:val="auto"/>
                <w:sz w:val="21"/>
                <w:szCs w:val="21"/>
                <w:highlight w:val="none"/>
              </w:rPr>
              <w:t>详见第六章响应文件格式</w:t>
            </w:r>
            <w:r>
              <w:rPr>
                <w:rFonts w:hint="eastAsia" w:ascii="宋体" w:hAnsi="宋体" w:eastAsia="宋体"/>
                <w:color w:val="auto"/>
                <w:sz w:val="21"/>
                <w:szCs w:val="21"/>
                <w:highlight w:val="none"/>
                <w:lang w:val="en-US" w:eastAsia="zh-CN"/>
              </w:rPr>
              <w:t>四</w:t>
            </w:r>
            <w:r>
              <w:rPr>
                <w:rFonts w:hint="eastAsia" w:ascii="宋体"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3</w:t>
            </w:r>
          </w:p>
        </w:tc>
        <w:tc>
          <w:tcPr>
            <w:tcW w:w="761" w:type="pct"/>
            <w:tcBorders>
              <w:bottom w:val="single" w:color="auto" w:sz="4" w:space="0"/>
            </w:tcBorders>
            <w:vAlign w:val="center"/>
          </w:tcPr>
          <w:p>
            <w:pPr>
              <w:spacing w:after="50" w:line="360" w:lineRule="auto"/>
              <w:ind w:right="-1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供应商</w:t>
            </w:r>
            <w:r>
              <w:rPr>
                <w:rFonts w:hint="eastAsia" w:ascii="宋体" w:hAnsi="宋体" w:eastAsia="宋体" w:cs="宋体"/>
                <w:color w:val="auto"/>
                <w:sz w:val="21"/>
                <w:szCs w:val="21"/>
                <w:highlight w:val="none"/>
              </w:rPr>
              <w:t>信用记录</w:t>
            </w:r>
          </w:p>
        </w:tc>
        <w:tc>
          <w:tcPr>
            <w:tcW w:w="1987" w:type="pct"/>
            <w:tcBorders>
              <w:bottom w:val="single" w:color="auto" w:sz="4" w:space="0"/>
            </w:tcBorders>
            <w:vAlign w:val="center"/>
          </w:tcPr>
          <w:p>
            <w:pPr>
              <w:spacing w:after="50" w:line="360" w:lineRule="auto"/>
              <w:ind w:right="-10"/>
              <w:jc w:val="both"/>
              <w:rPr>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不得存在</w:t>
            </w: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val="zh-CN"/>
              </w:rPr>
              <w:t>须知正文</w:t>
            </w:r>
            <w:r>
              <w:rPr>
                <w:rFonts w:hint="eastAsia" w:ascii="宋体" w:hAnsi="宋体" w:eastAsia="宋体" w:cs="宋体"/>
                <w:color w:val="auto"/>
                <w:sz w:val="21"/>
                <w:szCs w:val="21"/>
                <w:highlight w:val="none"/>
              </w:rPr>
              <w:t>中</w:t>
            </w:r>
            <w:r>
              <w:rPr>
                <w:rFonts w:hint="eastAsia" w:ascii="宋体" w:hAnsi="宋体" w:eastAsia="宋体"/>
                <w:color w:val="auto"/>
                <w:sz w:val="21"/>
                <w:szCs w:val="21"/>
                <w:highlight w:val="none"/>
              </w:rPr>
              <w:t>的不良信用记录情形</w:t>
            </w:r>
          </w:p>
        </w:tc>
        <w:tc>
          <w:tcPr>
            <w:tcW w:w="1836" w:type="pct"/>
            <w:tcBorders>
              <w:bottom w:val="single" w:color="auto" w:sz="4" w:space="0"/>
            </w:tcBorders>
            <w:vAlign w:val="center"/>
          </w:tcPr>
          <w:p>
            <w:pPr>
              <w:spacing w:line="360" w:lineRule="auto"/>
              <w:jc w:val="both"/>
              <w:rPr>
                <w:color w:val="auto"/>
                <w:sz w:val="21"/>
                <w:szCs w:val="21"/>
                <w:highlight w:val="none"/>
              </w:rPr>
            </w:pPr>
            <w:r>
              <w:rPr>
                <w:rFonts w:hint="eastAsia" w:ascii="宋体" w:hAnsi="宋体" w:eastAsia="宋体"/>
                <w:color w:val="auto"/>
                <w:sz w:val="21"/>
                <w:szCs w:val="21"/>
                <w:highlight w:val="none"/>
              </w:rPr>
              <w:t>详见第六章响应文件格式</w:t>
            </w:r>
            <w:r>
              <w:rPr>
                <w:rFonts w:hint="eastAsia" w:ascii="宋体" w:hAnsi="宋体" w:eastAsia="宋体"/>
                <w:color w:val="auto"/>
                <w:sz w:val="21"/>
                <w:szCs w:val="21"/>
                <w:highlight w:val="none"/>
                <w:lang w:val="en-US" w:eastAsia="zh-CN"/>
              </w:rPr>
              <w:t>八</w:t>
            </w:r>
            <w:r>
              <w:rPr>
                <w:rFonts w:hint="eastAsia" w:ascii="宋体"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414" w:type="pct"/>
            <w:vAlign w:val="center"/>
          </w:tcPr>
          <w:p>
            <w:pPr>
              <w:adjustRightInd w:val="0"/>
              <w:snapToGrid w:val="0"/>
              <w:spacing w:line="360" w:lineRule="auto"/>
              <w:ind w:right="-10"/>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4</w:t>
            </w:r>
          </w:p>
        </w:tc>
        <w:tc>
          <w:tcPr>
            <w:tcW w:w="761" w:type="pct"/>
            <w:vAlign w:val="center"/>
          </w:tcPr>
          <w:p>
            <w:pPr>
              <w:spacing w:after="50" w:line="360" w:lineRule="auto"/>
              <w:ind w:right="-10"/>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本项目专用资格条件</w:t>
            </w:r>
          </w:p>
        </w:tc>
        <w:tc>
          <w:tcPr>
            <w:tcW w:w="1987" w:type="pct"/>
            <w:vAlign w:val="center"/>
          </w:tcPr>
          <w:p>
            <w:pPr>
              <w:spacing w:after="50" w:line="360" w:lineRule="auto"/>
              <w:ind w:right="-10"/>
              <w:jc w:val="both"/>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供应商具有环境保护行政主管部门关于一次性塑料输液瓶（袋）回收处置项目的批复</w:t>
            </w:r>
          </w:p>
        </w:tc>
        <w:tc>
          <w:tcPr>
            <w:tcW w:w="1836" w:type="pct"/>
            <w:vAlign w:val="center"/>
          </w:tcPr>
          <w:p>
            <w:pPr>
              <w:adjustRightInd w:val="0"/>
              <w:snapToGrid w:val="0"/>
              <w:spacing w:line="360" w:lineRule="auto"/>
              <w:ind w:right="-10"/>
              <w:jc w:val="both"/>
              <w:rPr>
                <w:rFonts w:hint="eastAsia" w:ascii="宋体" w:hAnsi="宋体" w:eastAsia="宋体"/>
                <w:color w:val="auto"/>
                <w:sz w:val="21"/>
                <w:szCs w:val="21"/>
                <w:highlight w:val="none"/>
              </w:rPr>
            </w:pPr>
            <w:r>
              <w:rPr>
                <w:rFonts w:hint="eastAsia" w:asciiTheme="minorEastAsia" w:hAnsiTheme="minorEastAsia" w:eastAsiaTheme="minorEastAsia"/>
                <w:color w:val="auto"/>
                <w:sz w:val="21"/>
                <w:szCs w:val="21"/>
                <w:highlight w:val="none"/>
              </w:rPr>
              <w:t>提供</w:t>
            </w:r>
            <w:r>
              <w:rPr>
                <w:rFonts w:hint="eastAsia" w:asciiTheme="minorEastAsia" w:hAnsiTheme="minorEastAsia" w:eastAsiaTheme="minorEastAsia"/>
                <w:color w:val="auto"/>
                <w:sz w:val="21"/>
                <w:szCs w:val="21"/>
                <w:highlight w:val="none"/>
                <w:lang w:val="en-US" w:eastAsia="zh-CN"/>
              </w:rPr>
              <w:t>材料</w:t>
            </w:r>
            <w:r>
              <w:rPr>
                <w:rFonts w:hint="eastAsia" w:asciiTheme="minorEastAsia" w:hAnsiTheme="minorEastAsia" w:eastAsiaTheme="minorEastAsia"/>
                <w:color w:val="auto"/>
                <w:sz w:val="21"/>
                <w:szCs w:val="21"/>
                <w:highlight w:val="none"/>
              </w:rPr>
              <w:t>扫描件</w:t>
            </w:r>
            <w:r>
              <w:rPr>
                <w:rFonts w:hint="eastAsia" w:asciiTheme="minorEastAsia" w:hAnsiTheme="minorEastAsia" w:eastAsiaTheme="minorEastAsia"/>
                <w:color w:val="auto"/>
                <w:sz w:val="21"/>
                <w:szCs w:val="21"/>
                <w:highlight w:val="none"/>
                <w:lang w:val="en-US" w:eastAsia="zh-CN"/>
              </w:rPr>
              <w:t>或复印件</w:t>
            </w:r>
            <w:r>
              <w:rPr>
                <w:rFonts w:hint="eastAsia" w:asciiTheme="minorEastAsia" w:hAnsiTheme="minorEastAsia" w:eastAsiaTheme="minorEastAsia"/>
                <w:color w:val="auto"/>
                <w:sz w:val="21"/>
                <w:szCs w:val="21"/>
                <w:highlight w:val="none"/>
              </w:rPr>
              <w:t>，应完整的体现出</w:t>
            </w:r>
            <w:r>
              <w:rPr>
                <w:rFonts w:hint="eastAsia" w:asciiTheme="minorEastAsia" w:hAnsiTheme="minorEastAsia" w:eastAsiaTheme="minorEastAsia"/>
                <w:color w:val="auto"/>
                <w:sz w:val="21"/>
                <w:szCs w:val="21"/>
                <w:highlight w:val="none"/>
                <w:lang w:val="en-US" w:eastAsia="zh-CN"/>
              </w:rPr>
              <w:t>材料</w:t>
            </w:r>
            <w:r>
              <w:rPr>
                <w:rFonts w:hint="eastAsia" w:asciiTheme="minorEastAsia" w:hAnsiTheme="minorEastAsia" w:eastAsiaTheme="minorEastAsia"/>
                <w:color w:val="auto"/>
                <w:sz w:val="21"/>
                <w:szCs w:val="21"/>
                <w:highlight w:val="none"/>
              </w:rPr>
              <w:t>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14" w:type="pct"/>
            <w:vAlign w:val="center"/>
          </w:tcPr>
          <w:p>
            <w:pPr>
              <w:adjustRightInd w:val="0"/>
              <w:snapToGrid w:val="0"/>
              <w:spacing w:line="360" w:lineRule="auto"/>
              <w:ind w:right="-10"/>
              <w:jc w:val="center"/>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5</w:t>
            </w:r>
          </w:p>
        </w:tc>
        <w:tc>
          <w:tcPr>
            <w:tcW w:w="761" w:type="pct"/>
            <w:vAlign w:val="center"/>
          </w:tcPr>
          <w:p>
            <w:pPr>
              <w:spacing w:after="50" w:line="360" w:lineRule="auto"/>
              <w:ind w:right="-1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响应函</w:t>
            </w:r>
          </w:p>
        </w:tc>
        <w:tc>
          <w:tcPr>
            <w:tcW w:w="1987" w:type="pct"/>
            <w:vAlign w:val="center"/>
          </w:tcPr>
          <w:p>
            <w:pPr>
              <w:spacing w:after="50" w:line="360" w:lineRule="auto"/>
              <w:ind w:right="-10"/>
              <w:jc w:val="both"/>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格式、填写要求符合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文件规定并加盖供应商章</w:t>
            </w:r>
          </w:p>
        </w:tc>
        <w:tc>
          <w:tcPr>
            <w:tcW w:w="1836" w:type="pct"/>
            <w:vAlign w:val="center"/>
          </w:tcPr>
          <w:p>
            <w:pPr>
              <w:adjustRightInd w:val="0"/>
              <w:snapToGrid w:val="0"/>
              <w:spacing w:line="360" w:lineRule="auto"/>
              <w:ind w:right="-10"/>
              <w:jc w:val="both"/>
              <w:rPr>
                <w:rFonts w:asciiTheme="minorEastAsia" w:hAnsiTheme="minorEastAsia" w:eastAsiaTheme="minorEastAsia"/>
                <w:color w:val="auto"/>
                <w:sz w:val="21"/>
                <w:szCs w:val="21"/>
                <w:highlight w:val="none"/>
              </w:rPr>
            </w:pPr>
            <w:r>
              <w:rPr>
                <w:rFonts w:hint="eastAsia" w:ascii="宋体" w:hAnsi="宋体" w:eastAsia="宋体"/>
                <w:color w:val="auto"/>
                <w:sz w:val="21"/>
                <w:szCs w:val="21"/>
                <w:highlight w:val="none"/>
              </w:rPr>
              <w:t>详见第六章响应文件格式</w:t>
            </w:r>
            <w:r>
              <w:rPr>
                <w:rFonts w:hint="eastAsia" w:ascii="宋体" w:hAnsi="宋体" w:eastAsia="宋体"/>
                <w:color w:val="auto"/>
                <w:sz w:val="21"/>
                <w:szCs w:val="21"/>
                <w:highlight w:val="none"/>
                <w:lang w:val="en-US" w:eastAsia="zh-CN"/>
              </w:rPr>
              <w:t>三</w:t>
            </w:r>
            <w:r>
              <w:rPr>
                <w:rFonts w:hint="eastAsia" w:ascii="宋体" w:hAnsi="宋体"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adjustRightInd w:val="0"/>
              <w:snapToGrid w:val="0"/>
              <w:spacing w:line="360" w:lineRule="auto"/>
              <w:ind w:right="-1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6</w:t>
            </w:r>
          </w:p>
        </w:tc>
        <w:tc>
          <w:tcPr>
            <w:tcW w:w="761" w:type="pct"/>
            <w:vAlign w:val="center"/>
          </w:tcPr>
          <w:p>
            <w:pPr>
              <w:spacing w:after="50" w:line="360" w:lineRule="auto"/>
              <w:ind w:right="-10"/>
              <w:jc w:val="center"/>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授权书</w:t>
            </w:r>
          </w:p>
        </w:tc>
        <w:tc>
          <w:tcPr>
            <w:tcW w:w="1987" w:type="pct"/>
            <w:vAlign w:val="center"/>
          </w:tcPr>
          <w:p>
            <w:pPr>
              <w:spacing w:after="50" w:line="360" w:lineRule="auto"/>
              <w:ind w:right="-10"/>
              <w:jc w:val="both"/>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格式、填写要求符合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文件规定并加盖供应商章</w:t>
            </w:r>
          </w:p>
        </w:tc>
        <w:tc>
          <w:tcPr>
            <w:tcW w:w="1836" w:type="pct"/>
            <w:vAlign w:val="center"/>
          </w:tcPr>
          <w:p>
            <w:pPr>
              <w:adjustRightInd w:val="0"/>
              <w:snapToGrid w:val="0"/>
              <w:spacing w:line="360" w:lineRule="auto"/>
              <w:ind w:right="-10"/>
              <w:jc w:val="both"/>
              <w:rPr>
                <w:rFonts w:ascii="宋体" w:hAnsi="宋体" w:eastAsia="宋体" w:cs="宋体"/>
                <w:color w:val="auto"/>
                <w:sz w:val="21"/>
                <w:szCs w:val="21"/>
                <w:highlight w:val="none"/>
              </w:rPr>
            </w:pPr>
            <w:r>
              <w:rPr>
                <w:rFonts w:hint="eastAsia" w:asciiTheme="minorEastAsia" w:hAnsiTheme="minorEastAsia" w:eastAsiaTheme="minorEastAsia"/>
                <w:color w:val="auto"/>
                <w:sz w:val="21"/>
                <w:szCs w:val="21"/>
                <w:highlight w:val="none"/>
              </w:rPr>
              <w:t>法定代表人参加</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的无需此件，详见第六章响应文件格式</w:t>
            </w:r>
            <w:r>
              <w:rPr>
                <w:rFonts w:hint="eastAsia" w:asciiTheme="minorEastAsia" w:hAnsiTheme="minorEastAsia" w:eastAsiaTheme="minorEastAsia"/>
                <w:color w:val="auto"/>
                <w:sz w:val="21"/>
                <w:szCs w:val="21"/>
                <w:highlight w:val="none"/>
                <w:lang w:val="en-US" w:eastAsia="zh-CN"/>
              </w:rPr>
              <w:t>五</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14" w:type="pct"/>
            <w:vAlign w:val="center"/>
          </w:tcPr>
          <w:p>
            <w:pPr>
              <w:adjustRightInd w:val="0"/>
              <w:snapToGrid w:val="0"/>
              <w:spacing w:line="360" w:lineRule="auto"/>
              <w:ind w:right="-1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7</w:t>
            </w:r>
          </w:p>
        </w:tc>
        <w:tc>
          <w:tcPr>
            <w:tcW w:w="761" w:type="pct"/>
            <w:vAlign w:val="center"/>
          </w:tcPr>
          <w:p>
            <w:pPr>
              <w:spacing w:after="50" w:line="360" w:lineRule="auto"/>
              <w:ind w:right="-10"/>
              <w:jc w:val="center"/>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报价</w:t>
            </w:r>
          </w:p>
        </w:tc>
        <w:tc>
          <w:tcPr>
            <w:tcW w:w="1987" w:type="pct"/>
            <w:vAlign w:val="center"/>
          </w:tcPr>
          <w:p>
            <w:pPr>
              <w:spacing w:after="50" w:line="360" w:lineRule="auto"/>
              <w:ind w:right="-10"/>
              <w:jc w:val="both"/>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文件供应商须知正文第9条要求</w:t>
            </w:r>
          </w:p>
        </w:tc>
        <w:tc>
          <w:tcPr>
            <w:tcW w:w="1836" w:type="pct"/>
            <w:vAlign w:val="center"/>
          </w:tcPr>
          <w:p>
            <w:pPr>
              <w:adjustRightInd w:val="0"/>
              <w:snapToGrid w:val="0"/>
              <w:spacing w:line="360" w:lineRule="auto"/>
              <w:ind w:right="-10"/>
              <w:jc w:val="both"/>
              <w:rPr>
                <w:rFonts w:ascii="宋体" w:hAnsi="宋体" w:eastAsia="宋体" w:cs="宋体"/>
                <w:color w:val="auto"/>
                <w:sz w:val="21"/>
                <w:szCs w:val="21"/>
                <w:highlight w:val="none"/>
              </w:rPr>
            </w:pPr>
            <w:r>
              <w:rPr>
                <w:rFonts w:hint="eastAsia" w:asciiTheme="minorEastAsia" w:hAnsiTheme="minorEastAsia" w:eastAsiaTheme="minorEastAsia"/>
                <w:color w:val="auto"/>
                <w:sz w:val="21"/>
                <w:szCs w:val="21"/>
                <w:highlight w:val="none"/>
              </w:rPr>
              <w:t>详见第六章响应文件格式</w:t>
            </w:r>
            <w:r>
              <w:rPr>
                <w:rFonts w:hint="eastAsia" w:asciiTheme="minorEastAsia" w:hAnsiTheme="minorEastAsia" w:eastAsiaTheme="minorEastAsia"/>
                <w:color w:val="auto"/>
                <w:sz w:val="21"/>
                <w:szCs w:val="21"/>
                <w:highlight w:val="none"/>
                <w:lang w:val="en-US" w:eastAsia="zh-CN"/>
              </w:rPr>
              <w:t>一</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14" w:type="pct"/>
            <w:vAlign w:val="center"/>
          </w:tcPr>
          <w:p>
            <w:pPr>
              <w:adjustRightInd w:val="0"/>
              <w:snapToGrid w:val="0"/>
              <w:spacing w:line="360" w:lineRule="auto"/>
              <w:ind w:right="-1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8</w:t>
            </w:r>
          </w:p>
        </w:tc>
        <w:tc>
          <w:tcPr>
            <w:tcW w:w="761" w:type="pct"/>
            <w:vAlign w:val="center"/>
          </w:tcPr>
          <w:p>
            <w:pPr>
              <w:spacing w:after="50" w:line="360" w:lineRule="auto"/>
              <w:ind w:right="-10"/>
              <w:jc w:val="center"/>
              <w:rPr>
                <w:rFonts w:hint="eastAsia" w:ascii="宋体" w:hAnsi="宋体" w:cs="宋体" w:eastAsiaTheme="minorEastAsia"/>
                <w:color w:val="auto"/>
                <w:spacing w:val="10"/>
                <w:sz w:val="21"/>
                <w:szCs w:val="21"/>
                <w:highlight w:val="none"/>
                <w:lang w:val="en-US" w:eastAsia="zh-CN"/>
              </w:rPr>
            </w:pPr>
            <w:r>
              <w:rPr>
                <w:rFonts w:hint="eastAsia" w:asciiTheme="minorEastAsia" w:hAnsiTheme="minorEastAsia" w:eastAsiaTheme="minorEastAsia"/>
                <w:color w:val="auto"/>
                <w:sz w:val="21"/>
                <w:szCs w:val="21"/>
                <w:highlight w:val="none"/>
              </w:rPr>
              <w:t>商务响应</w:t>
            </w:r>
            <w:r>
              <w:rPr>
                <w:rFonts w:hint="eastAsia" w:asciiTheme="minorEastAsia" w:hAnsiTheme="minorEastAsia" w:eastAsiaTheme="minorEastAsia"/>
                <w:color w:val="auto"/>
                <w:sz w:val="21"/>
                <w:szCs w:val="21"/>
                <w:highlight w:val="none"/>
                <w:lang w:val="en-US" w:eastAsia="zh-CN"/>
              </w:rPr>
              <w:t>表</w:t>
            </w:r>
          </w:p>
        </w:tc>
        <w:tc>
          <w:tcPr>
            <w:tcW w:w="1987" w:type="pct"/>
            <w:vAlign w:val="center"/>
          </w:tcPr>
          <w:p>
            <w:pPr>
              <w:spacing w:after="50" w:line="360" w:lineRule="auto"/>
              <w:ind w:right="-10"/>
              <w:jc w:val="both"/>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文件采购需求中对</w:t>
            </w:r>
            <w:r>
              <w:rPr>
                <w:rFonts w:hint="eastAsia" w:asciiTheme="minorEastAsia" w:hAnsiTheme="minorEastAsia" w:eastAsiaTheme="minorEastAsia"/>
                <w:color w:val="auto"/>
                <w:sz w:val="21"/>
                <w:szCs w:val="21"/>
                <w:highlight w:val="none"/>
                <w:lang w:val="en-US" w:eastAsia="zh-CN"/>
              </w:rPr>
              <w:t>结算</w:t>
            </w:r>
            <w:r>
              <w:rPr>
                <w:rFonts w:hint="eastAsia" w:asciiTheme="minorEastAsia" w:hAnsiTheme="minorEastAsia" w:eastAsiaTheme="minorEastAsia"/>
                <w:color w:val="auto"/>
                <w:sz w:val="21"/>
                <w:szCs w:val="21"/>
                <w:highlight w:val="none"/>
              </w:rPr>
              <w:t>方式、服务地点、服务期限的要求</w:t>
            </w:r>
          </w:p>
        </w:tc>
        <w:tc>
          <w:tcPr>
            <w:tcW w:w="1836" w:type="pct"/>
            <w:vAlign w:val="center"/>
          </w:tcPr>
          <w:p>
            <w:pPr>
              <w:adjustRightInd w:val="0"/>
              <w:snapToGrid w:val="0"/>
              <w:spacing w:line="360" w:lineRule="auto"/>
              <w:ind w:right="-10"/>
              <w:jc w:val="both"/>
              <w:rPr>
                <w:rFonts w:ascii="宋体" w:hAnsi="宋体" w:eastAsia="宋体" w:cs="宋体"/>
                <w:color w:val="auto"/>
                <w:sz w:val="21"/>
                <w:szCs w:val="21"/>
                <w:highlight w:val="none"/>
              </w:rPr>
            </w:pPr>
            <w:r>
              <w:rPr>
                <w:rFonts w:hint="eastAsia" w:asciiTheme="minorEastAsia" w:hAnsiTheme="minorEastAsia" w:eastAsiaTheme="minorEastAsia"/>
                <w:color w:val="auto"/>
                <w:sz w:val="21"/>
                <w:szCs w:val="21"/>
                <w:highlight w:val="none"/>
              </w:rPr>
              <w:t>详见第六章响应文件格式</w:t>
            </w:r>
            <w:r>
              <w:rPr>
                <w:rFonts w:hint="eastAsia" w:asciiTheme="minorEastAsia" w:hAnsiTheme="minorEastAsia" w:eastAsiaTheme="minorEastAsia"/>
                <w:color w:val="auto"/>
                <w:sz w:val="21"/>
                <w:szCs w:val="21"/>
                <w:highlight w:val="none"/>
                <w:lang w:val="en-US" w:eastAsia="zh-CN"/>
              </w:rPr>
              <w:t>六</w:t>
            </w:r>
            <w:r>
              <w:rPr>
                <w:rFonts w:hint="eastAsia" w:asciiTheme="minorEastAsia" w:hAnsiTheme="minorEastAsia" w:eastAsia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 w:type="pct"/>
            <w:vAlign w:val="center"/>
          </w:tcPr>
          <w:p>
            <w:pPr>
              <w:adjustRightInd w:val="0"/>
              <w:snapToGrid w:val="0"/>
              <w:spacing w:line="360" w:lineRule="auto"/>
              <w:ind w:right="-10"/>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9</w:t>
            </w:r>
          </w:p>
        </w:tc>
        <w:tc>
          <w:tcPr>
            <w:tcW w:w="761" w:type="pct"/>
            <w:vAlign w:val="center"/>
          </w:tcPr>
          <w:p>
            <w:pPr>
              <w:spacing w:after="50" w:line="360" w:lineRule="auto"/>
              <w:ind w:right="-10" w:rightChars="0"/>
              <w:jc w:val="center"/>
              <w:rPr>
                <w:rFonts w:hint="eastAsia" w:ascii="宋体" w:hAnsi="宋体" w:cs="宋体" w:eastAsiaTheme="minorEastAsia"/>
                <w:color w:val="auto"/>
                <w:spacing w:val="10"/>
                <w:sz w:val="21"/>
                <w:szCs w:val="21"/>
                <w:highlight w:val="none"/>
                <w:lang w:val="en-US" w:eastAsia="zh-CN"/>
              </w:rPr>
            </w:pPr>
            <w:r>
              <w:rPr>
                <w:rFonts w:hint="eastAsia" w:ascii="宋体" w:hAnsi="宋体" w:cs="宋体" w:eastAsiaTheme="minorEastAsia"/>
                <w:color w:val="auto"/>
                <w:spacing w:val="10"/>
                <w:sz w:val="21"/>
                <w:szCs w:val="21"/>
                <w:highlight w:val="none"/>
                <w:lang w:val="en-US" w:eastAsia="zh-CN"/>
              </w:rPr>
              <w:t>供应商承诺</w:t>
            </w:r>
          </w:p>
        </w:tc>
        <w:tc>
          <w:tcPr>
            <w:tcW w:w="1987" w:type="pct"/>
            <w:vAlign w:val="center"/>
          </w:tcPr>
          <w:p>
            <w:pPr>
              <w:spacing w:after="50" w:line="360" w:lineRule="auto"/>
              <w:ind w:right="-10" w:rightChars="0"/>
              <w:jc w:val="both"/>
              <w:rPr>
                <w:rFonts w:ascii="宋体" w:hAnsi="宋体" w:eastAsia="宋体" w:cs="宋体"/>
                <w:color w:val="auto"/>
                <w:spacing w:val="10"/>
                <w:sz w:val="21"/>
                <w:szCs w:val="21"/>
                <w:highlight w:val="none"/>
              </w:rPr>
            </w:pPr>
            <w:r>
              <w:rPr>
                <w:rFonts w:hint="eastAsia" w:asciiTheme="minorEastAsia" w:hAnsiTheme="minorEastAsia" w:eastAsiaTheme="minorEastAsia"/>
                <w:color w:val="auto"/>
                <w:sz w:val="21"/>
                <w:szCs w:val="21"/>
                <w:highlight w:val="none"/>
              </w:rPr>
              <w:t>符合</w:t>
            </w:r>
            <w:r>
              <w:rPr>
                <w:rFonts w:hint="eastAsia" w:asciiTheme="minorEastAsia" w:hAnsiTheme="minorEastAsia" w:eastAsiaTheme="minorEastAsia"/>
                <w:color w:val="auto"/>
                <w:sz w:val="21"/>
                <w:szCs w:val="21"/>
                <w:highlight w:val="none"/>
                <w:lang w:val="en-US" w:eastAsia="zh-CN"/>
              </w:rPr>
              <w:t>谈判</w:t>
            </w:r>
            <w:r>
              <w:rPr>
                <w:rFonts w:hint="eastAsia" w:asciiTheme="minorEastAsia" w:hAnsiTheme="minorEastAsia" w:eastAsiaTheme="minorEastAsia"/>
                <w:color w:val="auto"/>
                <w:sz w:val="21"/>
                <w:szCs w:val="21"/>
                <w:highlight w:val="none"/>
              </w:rPr>
              <w:t>文件采购需求中服务要求</w:t>
            </w:r>
          </w:p>
        </w:tc>
        <w:tc>
          <w:tcPr>
            <w:tcW w:w="1836" w:type="pct"/>
            <w:vAlign w:val="center"/>
          </w:tcPr>
          <w:p>
            <w:pPr>
              <w:adjustRightInd w:val="0"/>
              <w:snapToGrid w:val="0"/>
              <w:spacing w:line="360" w:lineRule="auto"/>
              <w:ind w:right="-10" w:rightChars="0"/>
              <w:jc w:val="both"/>
              <w:rPr>
                <w:rFonts w:ascii="宋体" w:hAnsi="宋体" w:eastAsia="宋体" w:cs="宋体"/>
                <w:color w:val="auto"/>
                <w:sz w:val="21"/>
                <w:szCs w:val="21"/>
                <w:highlight w:val="none"/>
              </w:rPr>
            </w:pPr>
            <w:r>
              <w:rPr>
                <w:rFonts w:hint="eastAsia" w:asciiTheme="minorEastAsia" w:hAnsiTheme="minorEastAsia" w:eastAsiaTheme="minorEastAsia"/>
                <w:color w:val="auto"/>
                <w:sz w:val="21"/>
                <w:szCs w:val="21"/>
                <w:highlight w:val="none"/>
              </w:rPr>
              <w:t>详见第六章响应文件格式</w:t>
            </w:r>
            <w:r>
              <w:rPr>
                <w:rFonts w:hint="eastAsia" w:asciiTheme="minorEastAsia" w:hAnsiTheme="minorEastAsia" w:eastAsiaTheme="minorEastAsia"/>
                <w:color w:val="auto"/>
                <w:sz w:val="21"/>
                <w:szCs w:val="21"/>
                <w:highlight w:val="none"/>
                <w:lang w:val="en-US" w:eastAsia="zh-CN"/>
              </w:rPr>
              <w:t>七</w:t>
            </w:r>
            <w:r>
              <w:rPr>
                <w:rFonts w:hint="eastAsia" w:asciiTheme="minorEastAsia" w:hAnsiTheme="minorEastAsia" w:eastAsiaTheme="minorEastAsia"/>
                <w:color w:val="auto"/>
                <w:sz w:val="21"/>
                <w:szCs w:val="21"/>
                <w:highlight w:val="none"/>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jc w:val="center"/>
        <w:outlineLvl w:val="0"/>
        <w:rPr>
          <w:rFonts w:hint="eastAsia" w:asciiTheme="minorEastAsia" w:hAnsiTheme="minorEastAsia" w:eastAsiaTheme="minorEastAsia"/>
          <w:b/>
          <w:sz w:val="28"/>
        </w:rPr>
      </w:pPr>
      <w:bookmarkStart w:id="41" w:name="_Toc17167"/>
      <w:bookmarkStart w:id="42" w:name="_Toc63440929"/>
    </w:p>
    <w:p>
      <w:pPr>
        <w:numPr>
          <w:ilvl w:val="0"/>
          <w:numId w:val="2"/>
        </w:num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 xml:space="preserve"> </w:t>
      </w:r>
      <w:r>
        <w:rPr>
          <w:rFonts w:asciiTheme="minorEastAsia" w:hAnsiTheme="minorEastAsia" w:eastAsiaTheme="minorEastAsia"/>
          <w:b/>
          <w:sz w:val="28"/>
        </w:rPr>
        <w:t>合同</w:t>
      </w:r>
      <w:bookmarkEnd w:id="41"/>
      <w:bookmarkEnd w:id="42"/>
      <w:r>
        <w:rPr>
          <w:rFonts w:hint="eastAsia" w:asciiTheme="minorEastAsia" w:hAnsiTheme="minorEastAsia" w:eastAsiaTheme="minorEastAsia"/>
          <w:b/>
          <w:sz w:val="28"/>
        </w:rPr>
        <w:t>参考范本</w:t>
      </w:r>
    </w:p>
    <w:p>
      <w:pPr>
        <w:numPr>
          <w:ilvl w:val="0"/>
          <w:numId w:val="0"/>
        </w:numPr>
        <w:spacing w:line="360" w:lineRule="auto"/>
        <w:ind w:firstLine="2800" w:firstLineChars="1000"/>
        <w:jc w:val="both"/>
        <w:outlineLvl w:val="0"/>
        <w:rPr>
          <w:rFonts w:hint="eastAsia" w:asciiTheme="minorEastAsia" w:hAnsiTheme="minorEastAsia" w:eastAsiaTheme="minorEastAsia"/>
          <w:b w:val="0"/>
          <w:bCs/>
          <w:sz w:val="28"/>
        </w:rPr>
      </w:pPr>
      <w:r>
        <w:rPr>
          <w:rFonts w:hint="eastAsia" w:asciiTheme="minorEastAsia" w:hAnsiTheme="minorEastAsia" w:eastAsiaTheme="minorEastAsia"/>
          <w:b w:val="0"/>
          <w:bCs/>
          <w:sz w:val="28"/>
          <w:lang w:eastAsia="zh-CN"/>
        </w:rPr>
        <w:t>（</w:t>
      </w:r>
      <w:r>
        <w:rPr>
          <w:rFonts w:hint="eastAsia" w:asciiTheme="minorEastAsia" w:hAnsiTheme="minorEastAsia" w:eastAsiaTheme="minorEastAsia"/>
          <w:b w:val="0"/>
          <w:bCs/>
          <w:sz w:val="28"/>
          <w:lang w:val="en-US" w:eastAsia="zh-CN"/>
        </w:rPr>
        <w:t>以实际签订版本为准</w:t>
      </w:r>
      <w:r>
        <w:rPr>
          <w:rFonts w:hint="eastAsia" w:asciiTheme="minorEastAsia" w:hAnsiTheme="minorEastAsia" w:eastAsiaTheme="minorEastAsia"/>
          <w:b w:val="0"/>
          <w:bCs/>
          <w:sz w:val="28"/>
          <w:lang w:eastAsia="zh-CN"/>
        </w:rPr>
        <w:t>）</w:t>
      </w:r>
    </w:p>
    <w:p>
      <w:pPr>
        <w:pStyle w:val="2"/>
        <w:numPr>
          <w:ilvl w:val="0"/>
          <w:numId w:val="0"/>
        </w:num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360" w:lineRule="auto"/>
        <w:jc w:val="center"/>
        <w:outlineLvl w:val="0"/>
        <w:rPr>
          <w:rFonts w:hint="eastAsia" w:asciiTheme="minorEastAsia" w:hAnsiTheme="minorEastAsia" w:eastAsiaTheme="minorEastAsia"/>
          <w:b/>
          <w:sz w:val="28"/>
          <w:lang w:val="en-US" w:eastAsia="zh-CN"/>
        </w:rPr>
      </w:pPr>
      <w:bookmarkStart w:id="43" w:name="_Toc25148"/>
      <w:bookmarkStart w:id="44" w:name="_Toc2430"/>
      <w:r>
        <w:rPr>
          <w:rFonts w:hint="eastAsia" w:asciiTheme="minorEastAsia" w:hAnsiTheme="minorEastAsia" w:eastAsiaTheme="minorEastAsia"/>
          <w:b/>
          <w:sz w:val="28"/>
          <w:lang w:val="en-US" w:eastAsia="zh-CN"/>
        </w:rPr>
        <w:t xml:space="preserve"> </w:t>
      </w: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hint="eastAsia" w:asciiTheme="minorEastAsia" w:hAnsiTheme="minorEastAsia" w:eastAsiaTheme="minorEastAsia"/>
          <w:b/>
          <w:sz w:val="28"/>
          <w:lang w:val="en-US" w:eastAsia="zh-CN"/>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43"/>
      <w:bookmarkEnd w:id="44"/>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line="500" w:lineRule="exact"/>
        <w:rPr>
          <w:rFonts w:asciiTheme="minorEastAsia" w:hAnsiTheme="minorEastAsia" w:eastAsiaTheme="minorEastAsia"/>
          <w:b/>
          <w:sz w:val="72"/>
          <w:highlight w:val="yellow"/>
        </w:rPr>
      </w:pPr>
    </w:p>
    <w:p>
      <w:pPr>
        <w:spacing w:after="156" w:afterLines="50" w:line="500" w:lineRule="exact"/>
        <w:jc w:val="center"/>
        <w:rPr>
          <w:rFonts w:asciiTheme="minorEastAsia" w:hAnsiTheme="minorEastAsia" w:eastAsiaTheme="minorEastAsia"/>
          <w:b/>
          <w:sz w:val="28"/>
          <w:szCs w:val="28"/>
        </w:rPr>
      </w:pPr>
    </w:p>
    <w:p>
      <w:pPr>
        <w:numPr>
          <w:ilvl w:val="0"/>
          <w:numId w:val="0"/>
        </w:numPr>
        <w:spacing w:before="0" w:after="0"/>
        <w:ind w:firstLine="643" w:firstLineChars="200"/>
        <w:jc w:val="both"/>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宋体" w:hAnsi="宋体" w:eastAsia="宋体"/>
          <w:b/>
          <w:spacing w:val="20"/>
          <w:kern w:val="0"/>
          <w:sz w:val="32"/>
          <w:szCs w:val="32"/>
          <w:u w:val="single"/>
          <w:lang w:val="en-US" w:eastAsia="zh-CN"/>
        </w:rPr>
        <w:t>长丰县人民医院输液瓶（袋）、透析药桶等使用后未污染医疗废品回收处置</w:t>
      </w:r>
      <w:r>
        <w:rPr>
          <w:rFonts w:hint="eastAsia" w:asciiTheme="minorEastAsia" w:hAnsiTheme="minorEastAsia" w:eastAsiaTheme="minorEastAsia"/>
          <w:b/>
          <w:sz w:val="32"/>
          <w:u w:val="single"/>
          <w:lang w:val="en-US" w:eastAsia="zh-CN"/>
        </w:rPr>
        <w:t>服务（二次）</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CFXRMYY202</w:t>
      </w:r>
      <w:r>
        <w:rPr>
          <w:rFonts w:hint="eastAsia" w:asciiTheme="minorEastAsia" w:hAnsiTheme="minorEastAsia" w:eastAsiaTheme="minorEastAsia"/>
          <w:b/>
          <w:sz w:val="32"/>
          <w:u w:val="single"/>
          <w:lang w:val="en-US" w:eastAsia="zh-CN"/>
        </w:rPr>
        <w:t>6</w:t>
      </w:r>
      <w:r>
        <w:rPr>
          <w:rFonts w:hint="eastAsia" w:asciiTheme="minorEastAsia" w:hAnsiTheme="minorEastAsia" w:eastAsiaTheme="minorEastAsia"/>
          <w:b/>
          <w:sz w:val="32"/>
          <w:u w:val="single"/>
        </w:rPr>
        <w:t>00</w:t>
      </w:r>
      <w:r>
        <w:rPr>
          <w:rFonts w:hint="eastAsia" w:asciiTheme="minorEastAsia" w:hAnsiTheme="minorEastAsia" w:eastAsiaTheme="minorEastAsia"/>
          <w:b/>
          <w:sz w:val="32"/>
          <w:u w:val="single"/>
          <w:lang w:val="en-US" w:eastAsia="zh-CN"/>
        </w:rPr>
        <w:t>3</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45"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45"/>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46" w:name="_Toc461056631"/>
      <w:bookmarkStart w:id="47" w:name="_Toc461053086"/>
      <w:bookmarkStart w:id="48" w:name="_Toc26791"/>
      <w:bookmarkStart w:id="49" w:name="_Toc5881"/>
      <w:bookmarkStart w:id="50" w:name="_Toc520983587"/>
      <w:r>
        <w:rPr>
          <w:rFonts w:hint="eastAsia" w:asciiTheme="minorEastAsia" w:hAnsiTheme="minorEastAsia" w:eastAsiaTheme="minorEastAsia"/>
          <w:b/>
          <w:sz w:val="24"/>
        </w:rPr>
        <w:t>一</w:t>
      </w:r>
      <w:bookmarkEnd w:id="46"/>
      <w:bookmarkEnd w:id="47"/>
      <w:r>
        <w:rPr>
          <w:rFonts w:hint="eastAsia" w:asciiTheme="minorEastAsia" w:hAnsiTheme="minorEastAsia" w:eastAsiaTheme="minorEastAsia"/>
          <w:b/>
          <w:sz w:val="24"/>
        </w:rPr>
        <w:t>、报价表格式</w:t>
      </w:r>
      <w:bookmarkEnd w:id="48"/>
      <w:bookmarkEnd w:id="49"/>
      <w:bookmarkEnd w:id="50"/>
    </w:p>
    <w:p>
      <w:pPr>
        <w:numPr>
          <w:ilvl w:val="0"/>
          <w:numId w:val="0"/>
        </w:numPr>
        <w:spacing w:before="0" w:after="0"/>
        <w:ind w:firstLine="482" w:firstLineChars="200"/>
        <w:jc w:val="both"/>
        <w:rPr>
          <w:rFonts w:hint="eastAsia" w:ascii="宋体" w:hAnsi="宋体" w:eastAsia="宋体"/>
          <w:b/>
          <w:sz w:val="24"/>
          <w:szCs w:val="28"/>
          <w:u w:val="single"/>
          <w:lang w:val="en-US" w:eastAsia="zh-CN"/>
        </w:rPr>
      </w:pPr>
      <w:r>
        <w:rPr>
          <w:rFonts w:hint="eastAsia" w:ascii="宋体" w:hAnsi="宋体" w:eastAsia="宋体"/>
          <w:b/>
          <w:sz w:val="24"/>
          <w:szCs w:val="28"/>
        </w:rPr>
        <w:t>项目名称：</w:t>
      </w:r>
      <w:r>
        <w:rPr>
          <w:rFonts w:hint="eastAsia" w:ascii="宋体" w:hAnsi="宋体" w:eastAsia="宋体"/>
          <w:b/>
          <w:sz w:val="24"/>
          <w:szCs w:val="28"/>
          <w:u w:val="single"/>
          <w:lang w:val="en-US" w:eastAsia="zh-CN"/>
        </w:rPr>
        <w:t>长丰县人民医院输液瓶（袋）、透析药桶等使用后未污染医疗废品回收处置服务（二次）</w:t>
      </w:r>
    </w:p>
    <w:p>
      <w:pPr>
        <w:snapToGrid w:val="0"/>
        <w:spacing w:after="156" w:afterLines="50" w:line="360" w:lineRule="auto"/>
        <w:ind w:firstLine="482" w:firstLineChars="200"/>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CFXRMYY2026003</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p>
    <w:tbl>
      <w:tblPr>
        <w:tblStyle w:val="16"/>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4093"/>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1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val="0"/>
                <w:bCs/>
                <w:sz w:val="24"/>
                <w:szCs w:val="24"/>
              </w:rPr>
            </w:pPr>
            <w:r>
              <w:rPr>
                <w:rFonts w:hint="eastAsia" w:ascii="宋体" w:hAnsi="宋体" w:eastAsia="宋体"/>
                <w:b w:val="0"/>
                <w:bCs/>
                <w:sz w:val="24"/>
                <w:szCs w:val="24"/>
              </w:rPr>
              <w:t>供应商名称</w:t>
            </w:r>
          </w:p>
        </w:tc>
        <w:tc>
          <w:tcPr>
            <w:tcW w:w="3982" w:type="pct"/>
            <w:gridSpan w:val="2"/>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1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val="0"/>
                <w:bCs/>
                <w:sz w:val="24"/>
                <w:szCs w:val="24"/>
              </w:rPr>
            </w:pPr>
            <w:r>
              <w:rPr>
                <w:rFonts w:hint="eastAsia" w:ascii="宋体" w:hAnsi="宋体" w:eastAsia="宋体"/>
                <w:b w:val="0"/>
                <w:bCs/>
                <w:sz w:val="24"/>
                <w:szCs w:val="24"/>
                <w:lang w:val="en-US" w:eastAsia="zh-CN"/>
              </w:rPr>
              <w:t>谈判</w:t>
            </w:r>
            <w:r>
              <w:rPr>
                <w:rFonts w:hint="eastAsia" w:ascii="宋体" w:hAnsi="宋体" w:eastAsia="宋体"/>
                <w:b w:val="0"/>
                <w:bCs/>
                <w:sz w:val="24"/>
                <w:szCs w:val="24"/>
              </w:rPr>
              <w:t>范围</w:t>
            </w:r>
          </w:p>
        </w:tc>
        <w:tc>
          <w:tcPr>
            <w:tcW w:w="3982" w:type="pct"/>
            <w:gridSpan w:val="2"/>
            <w:tcBorders>
              <w:left w:val="single" w:color="auto" w:sz="4" w:space="0"/>
            </w:tcBorders>
            <w:vAlign w:val="center"/>
          </w:tcPr>
          <w:p>
            <w:pPr>
              <w:widowControl/>
              <w:spacing w:line="360" w:lineRule="exact"/>
              <w:rPr>
                <w:rFonts w:hint="eastAsia" w:asciiTheme="minorEastAsia" w:hAnsiTheme="minorEastAsia" w:eastAsiaTheme="minorEastAsia"/>
                <w:sz w:val="24"/>
                <w:szCs w:val="28"/>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1017" w:type="pct"/>
            <w:tcBorders>
              <w:top w:val="single" w:color="auto" w:sz="4" w:space="0"/>
            </w:tcBorders>
            <w:vAlign w:val="center"/>
          </w:tcPr>
          <w:p>
            <w:pPr>
              <w:spacing w:line="360" w:lineRule="auto"/>
              <w:jc w:val="center"/>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输液瓶（袋）报价</w:t>
            </w:r>
          </w:p>
        </w:tc>
        <w:tc>
          <w:tcPr>
            <w:tcW w:w="2418" w:type="pct"/>
            <w:vAlign w:val="center"/>
          </w:tcPr>
          <w:p>
            <w:pPr>
              <w:snapToGrid w:val="0"/>
              <w:spacing w:line="360" w:lineRule="auto"/>
              <w:rPr>
                <w:rFonts w:hint="default" w:ascii="宋体" w:hAnsi="宋体" w:eastAsia="宋体"/>
                <w:b/>
                <w:sz w:val="24"/>
                <w:lang w:val="en-US" w:eastAsia="zh-CN"/>
              </w:rPr>
            </w:pPr>
            <w:r>
              <w:rPr>
                <w:rFonts w:hint="eastAsia" w:ascii="宋体" w:hAnsi="宋体" w:eastAsia="宋体"/>
                <w:b/>
                <w:sz w:val="24"/>
                <w:lang w:val="en-US" w:eastAsia="zh-CN"/>
              </w:rPr>
              <w:t xml:space="preserve">  </w:t>
            </w:r>
            <w:r>
              <w:rPr>
                <w:rFonts w:hint="eastAsia" w:ascii="宋体" w:hAnsi="宋体" w:eastAsia="宋体"/>
                <w:b/>
                <w:sz w:val="24"/>
                <w:u w:val="single"/>
                <w:lang w:val="en-US" w:eastAsia="zh-CN"/>
              </w:rPr>
              <w:t xml:space="preserve">           元/kg</w:t>
            </w:r>
          </w:p>
        </w:tc>
        <w:tc>
          <w:tcPr>
            <w:tcW w:w="1564" w:type="pct"/>
            <w:vAlign w:val="center"/>
          </w:tcPr>
          <w:p>
            <w:pPr>
              <w:snapToGrid w:val="0"/>
              <w:spacing w:line="360" w:lineRule="auto"/>
              <w:rPr>
                <w:rFonts w:hint="default" w:ascii="宋体" w:hAnsi="宋体" w:eastAsia="宋体"/>
                <w:b/>
                <w:sz w:val="24"/>
                <w:lang w:val="en-US" w:eastAsia="zh-CN"/>
              </w:rPr>
            </w:pPr>
            <w:r>
              <w:rPr>
                <w:rFonts w:hint="eastAsia" w:ascii="宋体" w:hAnsi="宋体" w:eastAsia="宋体"/>
                <w:b/>
                <w:sz w:val="24"/>
                <w:lang w:val="en-US" w:eastAsia="zh-CN"/>
              </w:rPr>
              <w:t>不得低于1.00元/kg（去除20%残留药液）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017" w:type="pct"/>
            <w:tcBorders>
              <w:top w:val="single" w:color="auto" w:sz="4" w:space="0"/>
            </w:tcBorders>
            <w:vAlign w:val="center"/>
          </w:tcPr>
          <w:p>
            <w:pPr>
              <w:spacing w:line="360" w:lineRule="auto"/>
              <w:jc w:val="center"/>
              <w:rPr>
                <w:rFonts w:ascii="宋体" w:hAnsi="宋体" w:eastAsia="宋体"/>
                <w:b w:val="0"/>
                <w:bCs/>
                <w:sz w:val="24"/>
                <w:szCs w:val="24"/>
              </w:rPr>
            </w:pPr>
            <w:r>
              <w:rPr>
                <w:rFonts w:hint="eastAsia" w:ascii="宋体" w:hAnsi="宋体" w:eastAsia="宋体"/>
                <w:b w:val="0"/>
                <w:bCs/>
                <w:sz w:val="24"/>
                <w:szCs w:val="24"/>
                <w:lang w:val="en-US" w:eastAsia="zh-CN"/>
              </w:rPr>
              <w:t>透析药桶</w:t>
            </w:r>
            <w:r>
              <w:rPr>
                <w:rFonts w:hint="eastAsia" w:ascii="宋体" w:hAnsi="宋体" w:eastAsia="宋体"/>
                <w:b w:val="0"/>
                <w:bCs/>
                <w:sz w:val="24"/>
                <w:szCs w:val="24"/>
              </w:rPr>
              <w:t>报价</w:t>
            </w:r>
          </w:p>
          <w:p>
            <w:pPr>
              <w:spacing w:line="360" w:lineRule="auto"/>
              <w:jc w:val="center"/>
              <w:rPr>
                <w:rFonts w:ascii="宋体" w:hAnsi="宋体" w:eastAsia="宋体"/>
                <w:b w:val="0"/>
                <w:bCs/>
                <w:sz w:val="24"/>
                <w:szCs w:val="24"/>
              </w:rPr>
            </w:pPr>
          </w:p>
        </w:tc>
        <w:tc>
          <w:tcPr>
            <w:tcW w:w="2418" w:type="pct"/>
            <w:vAlign w:val="center"/>
          </w:tcPr>
          <w:p>
            <w:pPr>
              <w:snapToGrid w:val="0"/>
              <w:spacing w:line="360" w:lineRule="auto"/>
              <w:rPr>
                <w:rFonts w:ascii="宋体" w:hAnsi="宋体" w:eastAsia="宋体"/>
                <w:sz w:val="24"/>
                <w:szCs w:val="28"/>
              </w:rPr>
            </w:pPr>
          </w:p>
          <w:p>
            <w:pPr>
              <w:snapToGrid w:val="0"/>
              <w:spacing w:line="360" w:lineRule="auto"/>
              <w:rPr>
                <w:rFonts w:hint="default" w:ascii="宋体" w:hAnsi="宋体" w:eastAsia="宋体"/>
                <w:b/>
                <w:sz w:val="24"/>
                <w:lang w:val="en-US" w:eastAsia="zh-CN"/>
              </w:rPr>
            </w:pPr>
            <w:r>
              <w:rPr>
                <w:rFonts w:hint="eastAsia" w:ascii="宋体" w:hAnsi="宋体" w:eastAsia="宋体"/>
                <w:b/>
                <w:sz w:val="24"/>
                <w:lang w:val="en-US" w:eastAsia="zh-CN"/>
              </w:rPr>
              <w:t xml:space="preserve">  </w:t>
            </w:r>
            <w:r>
              <w:rPr>
                <w:rFonts w:hint="eastAsia" w:ascii="宋体" w:hAnsi="宋体" w:eastAsia="宋体"/>
                <w:b/>
                <w:sz w:val="24"/>
                <w:u w:val="single"/>
                <w:lang w:val="en-US" w:eastAsia="zh-CN"/>
              </w:rPr>
              <w:t xml:space="preserve">            元/个</w:t>
            </w:r>
          </w:p>
        </w:tc>
        <w:tc>
          <w:tcPr>
            <w:tcW w:w="1564" w:type="pct"/>
            <w:vAlign w:val="center"/>
          </w:tcPr>
          <w:p>
            <w:pPr>
              <w:snapToGrid w:val="0"/>
              <w:spacing w:line="360" w:lineRule="auto"/>
              <w:rPr>
                <w:rFonts w:hint="default" w:ascii="宋体" w:hAnsi="宋体" w:eastAsia="宋体"/>
                <w:b/>
                <w:sz w:val="24"/>
                <w:lang w:val="en-US" w:eastAsia="zh-CN"/>
              </w:rPr>
            </w:pPr>
            <w:r>
              <w:rPr>
                <w:rFonts w:hint="eastAsia" w:ascii="宋体" w:hAnsi="宋体" w:eastAsia="宋体"/>
                <w:b/>
                <w:sz w:val="24"/>
                <w:lang w:val="en-US" w:eastAsia="zh-CN"/>
              </w:rPr>
              <w:t>不得低于1.00元/个</w:t>
            </w:r>
          </w:p>
        </w:tc>
      </w:tr>
    </w:tbl>
    <w:p>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公</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本表内容根据</w:t>
      </w:r>
      <w:r>
        <w:rPr>
          <w:rFonts w:hint="eastAsia" w:ascii="宋体" w:hAnsi="宋体" w:eastAsia="宋体"/>
          <w:b/>
          <w:bCs/>
          <w:sz w:val="24"/>
          <w:szCs w:val="28"/>
          <w:lang w:val="en-US" w:eastAsia="zh-CN"/>
        </w:rPr>
        <w:t>谈判</w:t>
      </w:r>
      <w:r>
        <w:rPr>
          <w:rFonts w:hint="eastAsia" w:ascii="宋体" w:hAnsi="宋体" w:eastAsia="宋体"/>
          <w:b/>
          <w:bCs/>
          <w:sz w:val="24"/>
          <w:szCs w:val="28"/>
        </w:rPr>
        <w:t>文件要求包括了服务及其配套的</w:t>
      </w:r>
      <w:r>
        <w:rPr>
          <w:rFonts w:hint="eastAsia" w:ascii="宋体" w:hAnsi="宋体" w:eastAsia="宋体"/>
          <w:b/>
          <w:bCs/>
          <w:sz w:val="24"/>
          <w:szCs w:val="28"/>
          <w:lang w:val="en-US" w:eastAsia="zh-CN"/>
        </w:rPr>
        <w:t>设备设施</w:t>
      </w:r>
      <w:r>
        <w:rPr>
          <w:rFonts w:hint="eastAsia" w:ascii="宋体" w:hAnsi="宋体" w:eastAsia="宋体"/>
          <w:b/>
          <w:bCs/>
          <w:sz w:val="24"/>
          <w:szCs w:val="28"/>
        </w:rPr>
        <w:t>、运输、仓储、税费等所有费用。</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51" w:name="_Toc461056632"/>
      <w:bookmarkStart w:id="52" w:name="_Toc461053087"/>
      <w:bookmarkStart w:id="53" w:name="_Toc32436"/>
      <w:bookmarkStart w:id="54" w:name="_Toc28695"/>
      <w:bookmarkStart w:id="55" w:name="_Toc520983588"/>
      <w:r>
        <w:rPr>
          <w:rFonts w:hint="eastAsia" w:asciiTheme="minorEastAsia" w:hAnsiTheme="minorEastAsia" w:eastAsiaTheme="minorEastAsia"/>
          <w:b/>
          <w:sz w:val="24"/>
        </w:rPr>
        <w:t>二</w:t>
      </w:r>
      <w:bookmarkEnd w:id="51"/>
      <w:bookmarkEnd w:id="52"/>
      <w:r>
        <w:rPr>
          <w:rFonts w:hint="eastAsia" w:asciiTheme="minorEastAsia" w:hAnsiTheme="minorEastAsia" w:eastAsiaTheme="minorEastAsia"/>
          <w:b/>
          <w:sz w:val="24"/>
        </w:rPr>
        <w:t>、最后承诺报价表</w:t>
      </w:r>
      <w:bookmarkEnd w:id="53"/>
      <w:bookmarkEnd w:id="54"/>
      <w:bookmarkEnd w:id="55"/>
    </w:p>
    <w:p>
      <w:pPr>
        <w:numPr>
          <w:ilvl w:val="0"/>
          <w:numId w:val="0"/>
        </w:numPr>
        <w:spacing w:before="0" w:after="0"/>
        <w:ind w:firstLine="482" w:firstLineChars="200"/>
        <w:jc w:val="both"/>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lang w:val="en-US" w:eastAsia="zh-CN"/>
        </w:rPr>
        <w:t>长丰县人民医院输液瓶（袋）、透析药桶等使用后未污染医疗废品回收处置服务（二次）</w:t>
      </w:r>
    </w:p>
    <w:p>
      <w:pPr>
        <w:snapToGrid w:val="0"/>
        <w:spacing w:after="156" w:afterLines="50" w:line="360" w:lineRule="auto"/>
        <w:ind w:firstLine="482" w:firstLineChars="200"/>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CFXRMYY2026003</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tbl>
      <w:tblPr>
        <w:tblStyle w:val="16"/>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800"/>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val="0"/>
                <w:bCs/>
                <w:sz w:val="24"/>
              </w:rPr>
            </w:pPr>
            <w:r>
              <w:rPr>
                <w:rFonts w:hint="eastAsia" w:ascii="宋体" w:hAnsi="宋体" w:eastAsia="宋体"/>
                <w:b w:val="0"/>
                <w:bCs/>
                <w:sz w:val="24"/>
              </w:rPr>
              <w:t>供应商名称</w:t>
            </w:r>
          </w:p>
        </w:tc>
        <w:tc>
          <w:tcPr>
            <w:tcW w:w="4080" w:type="pct"/>
            <w:gridSpan w:val="2"/>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val="0"/>
                <w:bCs/>
                <w:sz w:val="24"/>
              </w:rPr>
            </w:pPr>
            <w:r>
              <w:rPr>
                <w:rFonts w:hint="eastAsia" w:ascii="宋体" w:hAnsi="宋体" w:eastAsia="宋体"/>
                <w:b w:val="0"/>
                <w:bCs/>
                <w:sz w:val="24"/>
                <w:lang w:val="en-US" w:eastAsia="zh-CN"/>
              </w:rPr>
              <w:t>谈判</w:t>
            </w:r>
            <w:r>
              <w:rPr>
                <w:rFonts w:hint="eastAsia" w:ascii="宋体" w:hAnsi="宋体" w:eastAsia="宋体"/>
                <w:b w:val="0"/>
                <w:bCs/>
                <w:sz w:val="24"/>
              </w:rPr>
              <w:t>范围</w:t>
            </w:r>
          </w:p>
        </w:tc>
        <w:tc>
          <w:tcPr>
            <w:tcW w:w="4080" w:type="pct"/>
            <w:gridSpan w:val="2"/>
            <w:tcBorders>
              <w:left w:val="single" w:color="auto" w:sz="4" w:space="0"/>
            </w:tcBorders>
            <w:vAlign w:val="center"/>
          </w:tcPr>
          <w:p>
            <w:pPr>
              <w:widowControl/>
              <w:spacing w:line="360" w:lineRule="exact"/>
              <w:rPr>
                <w:rFonts w:hint="eastAsia" w:asciiTheme="minorEastAsia" w:hAnsiTheme="minorEastAsia" w:eastAsiaTheme="minorEastAsia"/>
                <w:sz w:val="24"/>
                <w:szCs w:val="28"/>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19" w:type="pct"/>
            <w:tcBorders>
              <w:top w:val="single" w:color="auto" w:sz="4" w:space="0"/>
            </w:tcBorders>
            <w:vAlign w:val="center"/>
          </w:tcPr>
          <w:p>
            <w:pPr>
              <w:spacing w:line="360" w:lineRule="auto"/>
              <w:jc w:val="center"/>
              <w:rPr>
                <w:rFonts w:ascii="宋体" w:hAnsi="宋体" w:eastAsia="宋体"/>
                <w:b w:val="0"/>
                <w:bCs/>
                <w:sz w:val="24"/>
              </w:rPr>
            </w:pPr>
            <w:r>
              <w:rPr>
                <w:rFonts w:hint="eastAsia" w:ascii="宋体" w:hAnsi="宋体" w:eastAsia="宋体"/>
                <w:b w:val="0"/>
                <w:bCs/>
                <w:sz w:val="24"/>
                <w:szCs w:val="28"/>
                <w:lang w:val="en-US" w:eastAsia="zh-CN"/>
              </w:rPr>
              <w:t>输液瓶（袋）</w:t>
            </w:r>
            <w:r>
              <w:rPr>
                <w:rFonts w:hint="eastAsia" w:ascii="宋体" w:hAnsi="宋体" w:eastAsia="宋体"/>
                <w:b w:val="0"/>
                <w:bCs/>
                <w:sz w:val="24"/>
                <w:szCs w:val="28"/>
              </w:rPr>
              <w:t>报价</w:t>
            </w:r>
          </w:p>
          <w:p>
            <w:pPr>
              <w:spacing w:line="360" w:lineRule="auto"/>
              <w:jc w:val="center"/>
              <w:rPr>
                <w:rFonts w:ascii="宋体" w:hAnsi="宋体" w:eastAsia="宋体"/>
                <w:b w:val="0"/>
                <w:bCs/>
                <w:sz w:val="24"/>
              </w:rPr>
            </w:pPr>
          </w:p>
        </w:tc>
        <w:tc>
          <w:tcPr>
            <w:tcW w:w="2645" w:type="pct"/>
            <w:vAlign w:val="center"/>
          </w:tcPr>
          <w:p>
            <w:pPr>
              <w:snapToGrid w:val="0"/>
              <w:spacing w:line="360" w:lineRule="auto"/>
              <w:rPr>
                <w:rFonts w:ascii="宋体" w:hAnsi="宋体" w:eastAsia="宋体"/>
                <w:sz w:val="24"/>
                <w:szCs w:val="28"/>
              </w:rPr>
            </w:pPr>
          </w:p>
          <w:p>
            <w:pPr>
              <w:spacing w:line="360" w:lineRule="auto"/>
              <w:ind w:right="-670" w:firstLine="241" w:firstLineChars="100"/>
              <w:rPr>
                <w:rFonts w:ascii="宋体" w:hAnsi="宋体" w:eastAsia="宋体"/>
                <w:b/>
                <w:sz w:val="24"/>
              </w:rPr>
            </w:pPr>
            <w:r>
              <w:rPr>
                <w:rFonts w:hint="eastAsia" w:ascii="宋体" w:hAnsi="宋体" w:eastAsia="宋体"/>
                <w:b/>
                <w:sz w:val="24"/>
                <w:u w:val="single"/>
                <w:lang w:val="en-US" w:eastAsia="zh-CN"/>
              </w:rPr>
              <w:t xml:space="preserve">           元/kg</w:t>
            </w:r>
          </w:p>
        </w:tc>
        <w:tc>
          <w:tcPr>
            <w:tcW w:w="1434" w:type="pct"/>
            <w:vAlign w:val="center"/>
          </w:tcPr>
          <w:p>
            <w:pPr>
              <w:spacing w:line="360" w:lineRule="auto"/>
              <w:ind w:right="-670"/>
              <w:rPr>
                <w:rFonts w:hint="eastAsia" w:ascii="宋体" w:hAnsi="宋体" w:eastAsia="宋体"/>
                <w:b/>
                <w:sz w:val="24"/>
                <w:lang w:val="en-US" w:eastAsia="zh-CN"/>
              </w:rPr>
            </w:pPr>
            <w:r>
              <w:rPr>
                <w:rFonts w:hint="eastAsia" w:ascii="宋体" w:hAnsi="宋体" w:eastAsia="宋体"/>
                <w:b/>
                <w:sz w:val="24"/>
                <w:lang w:val="en-US" w:eastAsia="zh-CN"/>
              </w:rPr>
              <w:t>不得低于1.00元/kg</w:t>
            </w:r>
          </w:p>
          <w:p>
            <w:pPr>
              <w:spacing w:line="360" w:lineRule="auto"/>
              <w:ind w:right="-670"/>
              <w:rPr>
                <w:rFonts w:hint="eastAsia" w:ascii="宋体" w:hAnsi="宋体" w:eastAsia="宋体" w:cs="宋体"/>
                <w:bCs/>
                <w:sz w:val="24"/>
                <w:szCs w:val="24"/>
              </w:rPr>
            </w:pPr>
            <w:r>
              <w:rPr>
                <w:rFonts w:hint="eastAsia" w:ascii="宋体" w:hAnsi="宋体" w:eastAsia="宋体"/>
                <w:b/>
                <w:sz w:val="24"/>
                <w:lang w:val="en-US" w:eastAsia="zh-CN"/>
              </w:rPr>
              <w:t>（去除20%残留药液）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919" w:type="pct"/>
            <w:tcBorders>
              <w:top w:val="single" w:color="auto" w:sz="4" w:space="0"/>
            </w:tcBorders>
            <w:vAlign w:val="center"/>
          </w:tcPr>
          <w:p>
            <w:pPr>
              <w:spacing w:line="360" w:lineRule="auto"/>
              <w:jc w:val="center"/>
              <w:rPr>
                <w:rFonts w:hint="default" w:ascii="宋体" w:hAnsi="宋体" w:eastAsia="宋体"/>
                <w:b w:val="0"/>
                <w:bCs/>
                <w:sz w:val="24"/>
                <w:lang w:val="en-US" w:eastAsia="zh-CN"/>
              </w:rPr>
            </w:pPr>
            <w:r>
              <w:rPr>
                <w:rFonts w:hint="eastAsia" w:ascii="宋体" w:hAnsi="宋体" w:eastAsia="宋体"/>
                <w:b w:val="0"/>
                <w:bCs/>
                <w:sz w:val="24"/>
                <w:lang w:val="en-US" w:eastAsia="zh-CN"/>
              </w:rPr>
              <w:t>透析药桶报价</w:t>
            </w:r>
          </w:p>
        </w:tc>
        <w:tc>
          <w:tcPr>
            <w:tcW w:w="2645" w:type="pct"/>
            <w:vAlign w:val="center"/>
          </w:tcPr>
          <w:p>
            <w:pPr>
              <w:spacing w:line="360" w:lineRule="auto"/>
              <w:ind w:right="-670" w:firstLine="241" w:firstLineChars="100"/>
              <w:rPr>
                <w:rFonts w:hint="eastAsia" w:ascii="宋体" w:hAnsi="宋体" w:eastAsia="宋体" w:cs="宋体"/>
                <w:bCs/>
                <w:sz w:val="24"/>
                <w:szCs w:val="24"/>
              </w:rPr>
            </w:pPr>
            <w:r>
              <w:rPr>
                <w:rFonts w:hint="eastAsia" w:ascii="宋体" w:hAnsi="宋体" w:eastAsia="宋体"/>
                <w:b/>
                <w:sz w:val="24"/>
                <w:u w:val="single"/>
                <w:lang w:val="en-US" w:eastAsia="zh-CN"/>
              </w:rPr>
              <w:t xml:space="preserve">            元/个</w:t>
            </w:r>
          </w:p>
        </w:tc>
        <w:tc>
          <w:tcPr>
            <w:tcW w:w="1434" w:type="pct"/>
            <w:vAlign w:val="center"/>
          </w:tcPr>
          <w:p>
            <w:pPr>
              <w:spacing w:line="360" w:lineRule="auto"/>
              <w:ind w:right="-670"/>
              <w:rPr>
                <w:rFonts w:hint="eastAsia" w:ascii="宋体" w:hAnsi="宋体" w:eastAsia="宋体" w:cs="宋体"/>
                <w:bCs/>
                <w:sz w:val="24"/>
                <w:szCs w:val="24"/>
              </w:rPr>
            </w:pPr>
            <w:r>
              <w:rPr>
                <w:rFonts w:hint="eastAsia" w:ascii="宋体" w:hAnsi="宋体" w:eastAsia="宋体"/>
                <w:b/>
                <w:sz w:val="24"/>
                <w:lang w:val="en-US" w:eastAsia="zh-CN"/>
              </w:rPr>
              <w:t>不得低于1.00元/个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919" w:type="pct"/>
            <w:vAlign w:val="center"/>
          </w:tcPr>
          <w:p>
            <w:pPr>
              <w:spacing w:line="360" w:lineRule="auto"/>
              <w:jc w:val="center"/>
              <w:rPr>
                <w:rFonts w:ascii="宋体" w:hAnsi="宋体" w:eastAsia="宋体"/>
                <w:b w:val="0"/>
                <w:bCs/>
                <w:sz w:val="24"/>
              </w:rPr>
            </w:pPr>
            <w:r>
              <w:rPr>
                <w:rFonts w:hint="eastAsia" w:ascii="宋体" w:hAnsi="宋体" w:eastAsia="宋体"/>
                <w:b w:val="0"/>
                <w:bCs/>
                <w:sz w:val="24"/>
                <w:szCs w:val="28"/>
                <w:lang w:val="en-US" w:eastAsia="zh-CN"/>
              </w:rPr>
              <w:t>谈判</w:t>
            </w:r>
            <w:r>
              <w:rPr>
                <w:rFonts w:hint="eastAsia" w:ascii="宋体" w:hAnsi="宋体" w:eastAsia="宋体"/>
                <w:b w:val="0"/>
                <w:bCs/>
                <w:sz w:val="24"/>
                <w:szCs w:val="28"/>
              </w:rPr>
              <w:t>小组</w:t>
            </w:r>
            <w:r>
              <w:rPr>
                <w:rFonts w:ascii="宋体" w:hAnsi="宋体" w:eastAsia="宋体"/>
                <w:b w:val="0"/>
                <w:bCs/>
                <w:sz w:val="24"/>
                <w:szCs w:val="28"/>
              </w:rPr>
              <w:t>签字</w:t>
            </w:r>
          </w:p>
        </w:tc>
        <w:tc>
          <w:tcPr>
            <w:tcW w:w="4080" w:type="pct"/>
            <w:gridSpan w:val="2"/>
          </w:tcPr>
          <w:p>
            <w:pPr>
              <w:spacing w:line="360" w:lineRule="auto"/>
              <w:rPr>
                <w:rFonts w:ascii="宋体" w:hAnsi="宋体" w:eastAsia="宋体"/>
                <w:b/>
                <w:sz w:val="24"/>
              </w:rPr>
            </w:pPr>
          </w:p>
        </w:tc>
      </w:tr>
    </w:tbl>
    <w:p>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56" w:name="_Toc11500"/>
      <w:bookmarkStart w:id="57" w:name="_Toc32385"/>
      <w:bookmarkStart w:id="58" w:name="_Toc520983591"/>
      <w:r>
        <w:rPr>
          <w:rFonts w:hint="eastAsia" w:asciiTheme="minorEastAsia" w:hAnsiTheme="minorEastAsia" w:eastAsiaTheme="minorEastAsia"/>
          <w:b/>
          <w:sz w:val="24"/>
        </w:rPr>
        <w:t>三、</w:t>
      </w:r>
      <w:r>
        <w:rPr>
          <w:rFonts w:hint="eastAsia" w:asciiTheme="minorEastAsia" w:hAnsiTheme="minorEastAsia" w:eastAsiaTheme="minorEastAsia"/>
          <w:b/>
          <w:sz w:val="24"/>
          <w:lang w:val="en-US" w:eastAsia="zh-CN"/>
        </w:rPr>
        <w:t>谈判</w:t>
      </w:r>
      <w:r>
        <w:rPr>
          <w:rFonts w:hint="eastAsia" w:asciiTheme="minorEastAsia" w:hAnsiTheme="minorEastAsia" w:eastAsiaTheme="minorEastAsia"/>
          <w:b/>
          <w:sz w:val="24"/>
        </w:rPr>
        <w:t>响应函</w:t>
      </w:r>
      <w:bookmarkEnd w:id="56"/>
      <w:bookmarkEnd w:id="57"/>
      <w:bookmarkEnd w:id="58"/>
    </w:p>
    <w:p>
      <w:pPr>
        <w:pStyle w:val="10"/>
        <w:spacing w:line="360" w:lineRule="auto"/>
        <w:rPr>
          <w:rFonts w:hint="default" w:ascii="宋体" w:hAnsi="宋体" w:eastAsia="宋体"/>
          <w:sz w:val="24"/>
          <w:lang w:val="en-US" w:eastAsia="zh-CN"/>
        </w:rPr>
      </w:pPr>
      <w:r>
        <w:rPr>
          <w:rFonts w:hint="eastAsia" w:ascii="宋体" w:hAnsi="宋体"/>
          <w:sz w:val="24"/>
        </w:rPr>
        <w:t>致：</w:t>
      </w:r>
      <w:r>
        <w:rPr>
          <w:rFonts w:hint="eastAsia" w:ascii="宋体" w:hAnsi="宋体"/>
          <w:sz w:val="24"/>
          <w:lang w:val="en-US" w:eastAsia="zh-CN"/>
        </w:rPr>
        <w:t>长丰县人民医院</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59" w:name="_Hlk44287543"/>
      <w:r>
        <w:rPr>
          <w:rFonts w:hint="eastAsia" w:ascii="宋体" w:hAnsi="宋体" w:eastAsia="宋体"/>
          <w:sz w:val="24"/>
        </w:rPr>
        <w:t>竞争性</w:t>
      </w:r>
      <w:r>
        <w:rPr>
          <w:rFonts w:hint="eastAsia" w:ascii="宋体" w:hAnsi="宋体" w:eastAsia="宋体"/>
          <w:sz w:val="24"/>
          <w:lang w:val="en-US" w:eastAsia="zh-CN"/>
        </w:rPr>
        <w:t>谈判</w:t>
      </w:r>
      <w:r>
        <w:rPr>
          <w:rFonts w:hint="eastAsia" w:ascii="宋体" w:hAnsi="宋体" w:eastAsia="宋体"/>
          <w:sz w:val="24"/>
        </w:rPr>
        <w:t>公告和</w:t>
      </w:r>
      <w:r>
        <w:rPr>
          <w:rFonts w:hint="eastAsia" w:ascii="宋体" w:hAnsi="宋体" w:eastAsia="宋体"/>
          <w:sz w:val="24"/>
          <w:lang w:val="en-US" w:eastAsia="zh-CN"/>
        </w:rPr>
        <w:t>谈判</w:t>
      </w:r>
      <w:r>
        <w:rPr>
          <w:rFonts w:hint="eastAsia" w:ascii="宋体" w:hAnsi="宋体" w:eastAsia="宋体"/>
          <w:sz w:val="24"/>
        </w:rPr>
        <w:t>邀请</w:t>
      </w:r>
      <w:bookmarkEnd w:id="59"/>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w:t>
      </w:r>
      <w:r>
        <w:rPr>
          <w:rFonts w:hint="eastAsia" w:ascii="宋体" w:hAnsi="宋体" w:eastAsia="宋体" w:cs="宋体"/>
          <w:sz w:val="24"/>
          <w:szCs w:val="24"/>
          <w:lang w:val="en-US" w:eastAsia="zh-CN"/>
        </w:rPr>
        <w:t>谈判</w:t>
      </w:r>
      <w:r>
        <w:rPr>
          <w:rFonts w:hint="eastAsia" w:ascii="宋体" w:hAnsi="宋体" w:eastAsia="宋体" w:cs="宋体"/>
          <w:sz w:val="24"/>
          <w:szCs w:val="24"/>
        </w:rPr>
        <w:t>文件的规定，严格履行合同的责任和义务,并保证于买方要求的日期内完成，并通过买方验收。</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文件，包括</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文件附件及更正公告（如有），我方正式认可并遵守本次</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文件，并对</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日期起遵循本</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文件，并在</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sz w:val="24"/>
          <w:lang w:val="en-US" w:eastAsia="zh-CN"/>
        </w:rPr>
        <w:t>谈判</w:t>
      </w:r>
      <w:r>
        <w:rPr>
          <w:rFonts w:hint="eastAsia" w:asciiTheme="minorEastAsia" w:hAnsiTheme="minorEastAsia" w:eastAsiaTheme="minorEastAsia"/>
          <w:sz w:val="24"/>
        </w:rPr>
        <w:t>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供应商签章：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60" w:name="_Toc21328"/>
      <w:r>
        <w:rPr>
          <w:rFonts w:hint="eastAsia" w:asciiTheme="minorEastAsia" w:hAnsiTheme="minorEastAsia" w:eastAsiaTheme="minorEastAsia"/>
          <w:b/>
          <w:sz w:val="24"/>
        </w:rPr>
        <w:t>四、供应商资格声明书</w:t>
      </w:r>
      <w:bookmarkEnd w:id="60"/>
    </w:p>
    <w:p>
      <w:pPr>
        <w:pStyle w:val="10"/>
        <w:spacing w:line="360" w:lineRule="auto"/>
        <w:rPr>
          <w:rFonts w:hint="default" w:eastAsia="宋体" w:asciiTheme="minorEastAsia" w:hAnsiTheme="minorEastAsia" w:cstheme="minorEastAsia"/>
          <w:sz w:val="24"/>
          <w:szCs w:val="24"/>
          <w:lang w:val="en-US" w:eastAsia="zh-CN"/>
        </w:rPr>
      </w:pPr>
      <w:r>
        <w:rPr>
          <w:rFonts w:hint="eastAsia" w:ascii="宋体" w:hAnsi="宋体"/>
          <w:sz w:val="24"/>
        </w:rPr>
        <w:t>致：</w:t>
      </w:r>
      <w:r>
        <w:rPr>
          <w:rFonts w:hint="eastAsia" w:ascii="宋体" w:hAnsi="宋体"/>
          <w:sz w:val="24"/>
          <w:lang w:val="en-US" w:eastAsia="zh-CN"/>
        </w:rPr>
        <w:t>长丰县人民医院</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w:t>
      </w:r>
      <w:r>
        <w:rPr>
          <w:rFonts w:hint="eastAsia" w:asciiTheme="minorEastAsia" w:hAnsiTheme="minorEastAsia" w:eastAsiaTheme="minorEastAsia" w:cstheme="minorEastAsia"/>
          <w:color w:val="000000"/>
          <w:kern w:val="0"/>
          <w:sz w:val="24"/>
          <w:szCs w:val="24"/>
          <w:lang w:val="en-US" w:eastAsia="zh-CN" w:bidi="ar"/>
        </w:rPr>
        <w:t>谈判</w:t>
      </w:r>
      <w:r>
        <w:rPr>
          <w:rFonts w:hint="eastAsia" w:asciiTheme="minorEastAsia" w:hAnsiTheme="minorEastAsia" w:eastAsiaTheme="minorEastAsia" w:cstheme="minorEastAsia"/>
          <w:color w:val="000000"/>
          <w:kern w:val="0"/>
          <w:sz w:val="24"/>
          <w:szCs w:val="24"/>
          <w:lang w:bidi="ar"/>
        </w:rPr>
        <w:t>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采购活动前三年内，在经营活动中没有重大违法记录（重大违法记录指因违法经营受到刑事处罚或者责令停产停业、吊销许可证或者执照、较大数额罚款等行政处罚，不包括因违法经营被禁止在一定期限内参加采购活动，但期限已经届满的情形）；</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pPr>
              <w:pStyle w:val="5"/>
              <w:jc w:val="center"/>
              <w:rPr>
                <w:rFonts w:asciiTheme="minorEastAsia" w:hAnsiTheme="minorEastAsia" w:eastAsiaTheme="minorEastAsia" w:cstheme="minorEastAsia"/>
                <w:color w:val="000000"/>
                <w:kern w:val="0"/>
                <w:sz w:val="24"/>
                <w:lang w:val="en-US" w:bidi="ar"/>
              </w:rPr>
            </w:pPr>
          </w:p>
        </w:tc>
        <w:tc>
          <w:tcPr>
            <w:tcW w:w="2681" w:type="dxa"/>
          </w:tcPr>
          <w:p>
            <w:pPr>
              <w:pStyle w:val="5"/>
              <w:jc w:val="center"/>
              <w:rPr>
                <w:rFonts w:asciiTheme="minorEastAsia" w:hAnsiTheme="minorEastAsia" w:eastAsiaTheme="minorEastAsia" w:cstheme="minorEastAsia"/>
                <w:color w:val="000000"/>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5"/>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pPr>
              <w:pStyle w:val="5"/>
              <w:jc w:val="center"/>
              <w:rPr>
                <w:rFonts w:asciiTheme="minorEastAsia" w:hAnsiTheme="minorEastAsia" w:eastAsiaTheme="minorEastAsia" w:cstheme="minorEastAsia"/>
                <w:color w:val="000000"/>
                <w:kern w:val="0"/>
                <w:sz w:val="24"/>
                <w:lang w:val="en-US" w:bidi="ar"/>
              </w:rPr>
            </w:pPr>
          </w:p>
        </w:tc>
        <w:tc>
          <w:tcPr>
            <w:tcW w:w="2681" w:type="dxa"/>
          </w:tcPr>
          <w:p>
            <w:pPr>
              <w:pStyle w:val="5"/>
              <w:jc w:val="center"/>
              <w:rPr>
                <w:rFonts w:asciiTheme="minorEastAsia" w:hAnsiTheme="minorEastAsia" w:eastAsiaTheme="minorEastAsia" w:cstheme="minorEastAsia"/>
                <w:color w:val="000000"/>
                <w:kern w:val="0"/>
                <w:sz w:val="24"/>
                <w:lang w:val="en-US" w:bidi="ar"/>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spacing w:line="360" w:lineRule="auto"/>
        <w:jc w:val="center"/>
        <w:outlineLvl w:val="1"/>
        <w:rPr>
          <w:rFonts w:asciiTheme="minorEastAsia" w:hAnsiTheme="minorEastAsia" w:eastAsiaTheme="minorEastAsia"/>
          <w:b/>
          <w:sz w:val="24"/>
        </w:rPr>
      </w:pPr>
      <w:bookmarkStart w:id="61" w:name="_Toc516969106"/>
      <w:bookmarkStart w:id="62" w:name="_Toc204594911"/>
      <w:bookmarkStart w:id="63" w:name="_Toc26922"/>
      <w:bookmarkStart w:id="64" w:name="_Toc31518"/>
      <w:bookmarkStart w:id="65" w:name="_Toc121626298"/>
      <w:bookmarkStart w:id="66" w:name="_Toc520983594"/>
      <w:r>
        <w:rPr>
          <w:rFonts w:hint="eastAsia" w:asciiTheme="minorEastAsia" w:hAnsiTheme="minorEastAsia" w:eastAsiaTheme="minorEastAsia"/>
          <w:b/>
          <w:sz w:val="24"/>
        </w:rPr>
        <w:t>五、授权书</w:t>
      </w:r>
      <w:bookmarkEnd w:id="61"/>
      <w:bookmarkEnd w:id="62"/>
      <w:bookmarkEnd w:id="63"/>
      <w:bookmarkEnd w:id="64"/>
      <w:bookmarkEnd w:id="65"/>
      <w:bookmarkEnd w:id="66"/>
    </w:p>
    <w:p>
      <w:pPr>
        <w:spacing w:line="360" w:lineRule="auto"/>
        <w:jc w:val="center"/>
        <w:rPr>
          <w:rFonts w:asciiTheme="minorEastAsia" w:hAnsiTheme="minorEastAsia" w:eastAsiaTheme="minorEastAsia"/>
          <w:b/>
          <w:sz w:val="24"/>
        </w:rPr>
      </w:pPr>
    </w:p>
    <w:p>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w:t>
      </w:r>
      <w:r>
        <w:rPr>
          <w:rFonts w:hint="eastAsia" w:hAnsi="宋体" w:eastAsia="宋体"/>
          <w:sz w:val="24"/>
          <w:szCs w:val="28"/>
          <w:lang w:val="en-US" w:eastAsia="zh-CN"/>
        </w:rPr>
        <w:t>谈判</w:t>
      </w:r>
      <w:r>
        <w:rPr>
          <w:rFonts w:hint="eastAsia" w:hAnsi="宋体" w:eastAsia="宋体"/>
          <w:sz w:val="24"/>
          <w:szCs w:val="28"/>
        </w:rPr>
        <w:t>过程的一切事宜，包括但不限于：提交响应文件、参与</w:t>
      </w:r>
      <w:r>
        <w:rPr>
          <w:rFonts w:hint="eastAsia" w:hAnsi="宋体" w:eastAsia="宋体"/>
          <w:sz w:val="24"/>
          <w:szCs w:val="28"/>
          <w:lang w:val="en-US" w:eastAsia="zh-CN"/>
        </w:rPr>
        <w:t>谈判</w:t>
      </w:r>
      <w:r>
        <w:rPr>
          <w:rFonts w:hint="eastAsia" w:hAnsi="宋体" w:eastAsia="宋体"/>
          <w:sz w:val="24"/>
          <w:szCs w:val="28"/>
        </w:rPr>
        <w:t>、签约等。供应商授权代表在采购活动过程中所签署的一切文件和处理与之有关的一切事务，本公司均予以认可并对此承担责任。供应商授权代表无转委托权。特此授权。</w:t>
      </w:r>
    </w:p>
    <w:p>
      <w:pPr>
        <w:pStyle w:val="9"/>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9"/>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Ansi="宋体" w:eastAsia="宋体"/>
          <w:sz w:val="24"/>
        </w:rPr>
      </w:pPr>
    </w:p>
    <w:p>
      <w:pPr>
        <w:pStyle w:val="9"/>
        <w:snapToGrid w:val="0"/>
        <w:spacing w:line="360" w:lineRule="auto"/>
        <w:ind w:firstLine="480" w:firstLineChars="200"/>
        <w:jc w:val="left"/>
        <w:rPr>
          <w:rFonts w:hint="default" w:hAnsi="宋体" w:eastAsia="宋体"/>
          <w:sz w:val="24"/>
          <w:szCs w:val="28"/>
          <w:u w:val="single"/>
          <w:lang w:val="en-US" w:eastAsia="zh-CN"/>
        </w:rPr>
      </w:pPr>
      <w:r>
        <w:rPr>
          <w:rFonts w:hint="eastAsia" w:hAnsi="宋体" w:eastAsia="宋体"/>
          <w:sz w:val="24"/>
          <w:szCs w:val="28"/>
        </w:rPr>
        <w:t>授权代表联系方式：</w:t>
      </w:r>
      <w:r>
        <w:rPr>
          <w:rFonts w:hint="eastAsia" w:hAnsi="宋体" w:eastAsia="宋体"/>
          <w:sz w:val="24"/>
          <w:szCs w:val="28"/>
          <w:u w:val="single"/>
        </w:rPr>
        <w:t xml:space="preserve">          </w:t>
      </w:r>
      <w:r>
        <w:rPr>
          <w:rFonts w:hint="eastAsia" w:hAnsi="宋体" w:eastAsia="宋体"/>
          <w:sz w:val="24"/>
          <w:szCs w:val="28"/>
          <w:u w:val="single"/>
          <w:lang w:val="en-US" w:eastAsia="zh-CN"/>
        </w:rPr>
        <w:t xml:space="preserve">       </w:t>
      </w:r>
    </w:p>
    <w:p>
      <w:pPr>
        <w:pStyle w:val="9"/>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9"/>
        <w:snapToGrid w:val="0"/>
        <w:spacing w:line="360" w:lineRule="auto"/>
        <w:jc w:val="left"/>
        <w:rPr>
          <w:rFonts w:hAnsi="宋体" w:eastAsia="宋体"/>
          <w:sz w:val="24"/>
          <w:szCs w:val="28"/>
        </w:rPr>
      </w:pPr>
      <w:r>
        <w:rPr>
          <w:rFonts w:hint="eastAsia" w:hAnsi="宋体" w:eastAsia="宋体"/>
          <w:sz w:val="24"/>
          <w:szCs w:val="28"/>
        </w:rPr>
        <w:t>注：</w:t>
      </w:r>
    </w:p>
    <w:p>
      <w:pPr>
        <w:spacing w:line="360" w:lineRule="auto"/>
        <w:ind w:firstLine="480" w:firstLineChars="200"/>
        <w:jc w:val="left"/>
        <w:rPr>
          <w:rFonts w:hint="eastAsia" w:ascii="宋体" w:hAnsi="宋体" w:eastAsia="宋体"/>
          <w:sz w:val="24"/>
        </w:rPr>
      </w:pPr>
      <w:r>
        <w:rPr>
          <w:rFonts w:hint="eastAsia" w:ascii="宋体" w:hAnsi="宋体" w:eastAsia="宋体"/>
          <w:sz w:val="24"/>
        </w:rPr>
        <w:t>法定代表人参加</w:t>
      </w:r>
      <w:r>
        <w:rPr>
          <w:rFonts w:hint="eastAsia" w:ascii="宋体" w:hAnsi="宋体" w:eastAsia="宋体"/>
          <w:sz w:val="24"/>
          <w:lang w:val="en-US" w:eastAsia="zh-CN"/>
        </w:rPr>
        <w:t>谈判</w:t>
      </w:r>
      <w:r>
        <w:rPr>
          <w:rFonts w:hint="eastAsia" w:ascii="宋体" w:hAnsi="宋体" w:eastAsia="宋体"/>
          <w:sz w:val="24"/>
        </w:rPr>
        <w:t>的无需提供授权书。</w:t>
      </w:r>
    </w:p>
    <w:p>
      <w:pPr>
        <w:pStyle w:val="5"/>
        <w:rPr>
          <w:rFonts w:hint="eastAsia" w:ascii="宋体" w:hAnsi="宋体" w:eastAsia="宋体"/>
          <w:sz w:val="24"/>
        </w:rPr>
      </w:pPr>
    </w:p>
    <w:p>
      <w:pPr>
        <w:pStyle w:val="6"/>
        <w:rPr>
          <w:rFonts w:hint="eastAsia" w:ascii="宋体" w:hAnsi="宋体" w:eastAsia="宋体"/>
          <w:sz w:val="24"/>
        </w:rPr>
      </w:pPr>
    </w:p>
    <w:p>
      <w:pPr>
        <w:rPr>
          <w:rFonts w:hint="eastAsia" w:ascii="宋体" w:hAnsi="宋体" w:eastAsia="宋体"/>
          <w:sz w:val="24"/>
        </w:rPr>
      </w:pPr>
    </w:p>
    <w:p>
      <w:pPr>
        <w:pStyle w:val="5"/>
        <w:rPr>
          <w:rFonts w:hint="eastAsia" w:ascii="宋体" w:hAnsi="宋体" w:eastAsia="宋体"/>
          <w:sz w:val="24"/>
        </w:rPr>
      </w:pPr>
    </w:p>
    <w:p>
      <w:pPr>
        <w:pStyle w:val="6"/>
        <w:rPr>
          <w:rFonts w:hint="eastAsia" w:ascii="宋体" w:hAnsi="宋体" w:eastAsia="宋体"/>
          <w:sz w:val="24"/>
        </w:rPr>
      </w:pPr>
    </w:p>
    <w:p>
      <w:pPr>
        <w:rPr>
          <w:rFonts w:hint="eastAsia" w:ascii="宋体" w:hAnsi="宋体" w:eastAsia="宋体"/>
          <w:sz w:val="24"/>
        </w:rPr>
      </w:pPr>
    </w:p>
    <w:p>
      <w:pPr>
        <w:pStyle w:val="5"/>
        <w:rPr>
          <w:rFonts w:hint="eastAsia" w:ascii="宋体" w:hAnsi="宋体" w:eastAsia="宋体"/>
          <w:sz w:val="24"/>
        </w:rPr>
      </w:pPr>
    </w:p>
    <w:p>
      <w:pPr>
        <w:spacing w:line="360" w:lineRule="auto"/>
        <w:jc w:val="center"/>
        <w:outlineLvl w:val="1"/>
        <w:rPr>
          <w:rFonts w:asciiTheme="minorEastAsia" w:hAnsiTheme="minorEastAsia" w:eastAsiaTheme="minorEastAsia"/>
          <w:b/>
          <w:sz w:val="24"/>
        </w:rPr>
      </w:pPr>
      <w:bookmarkStart w:id="67" w:name="_Toc28033"/>
      <w:bookmarkStart w:id="68" w:name="_Toc22233"/>
      <w:r>
        <w:rPr>
          <w:rFonts w:hint="eastAsia" w:asciiTheme="minorEastAsia" w:hAnsiTheme="minorEastAsia" w:eastAsiaTheme="minorEastAsia"/>
          <w:b/>
          <w:sz w:val="24"/>
        </w:rPr>
        <w:t>六、商务响应表</w:t>
      </w:r>
      <w:bookmarkEnd w:id="67"/>
      <w:bookmarkEnd w:id="68"/>
    </w:p>
    <w:p>
      <w:pPr>
        <w:spacing w:line="360" w:lineRule="auto"/>
        <w:ind w:firstLine="435"/>
        <w:rPr>
          <w:rFonts w:asciiTheme="minorEastAsia" w:hAnsiTheme="minorEastAsia" w:eastAsiaTheme="minorEastAsia"/>
          <w:b/>
          <w:sz w:val="24"/>
        </w:rPr>
      </w:pPr>
    </w:p>
    <w:tbl>
      <w:tblPr>
        <w:tblStyle w:val="16"/>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455"/>
        <w:gridCol w:w="3174"/>
        <w:gridCol w:w="2276"/>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95"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序号</w:t>
            </w:r>
          </w:p>
        </w:tc>
        <w:tc>
          <w:tcPr>
            <w:tcW w:w="1455" w:type="dxa"/>
            <w:vAlign w:val="center"/>
          </w:tcPr>
          <w:p>
            <w:pPr>
              <w:pStyle w:val="9"/>
              <w:jc w:val="center"/>
              <w:rPr>
                <w:rFonts w:cs="Wingdings" w:asciiTheme="minorEastAsia" w:hAnsiTheme="minorEastAsia"/>
                <w:b/>
                <w:sz w:val="24"/>
              </w:rPr>
            </w:pPr>
            <w:r>
              <w:rPr>
                <w:rFonts w:hint="eastAsia" w:asciiTheme="minorEastAsia" w:hAnsiTheme="minorEastAsia"/>
                <w:b/>
                <w:bCs/>
                <w:sz w:val="24"/>
                <w:szCs w:val="24"/>
              </w:rPr>
              <w:t>商务条款</w:t>
            </w:r>
          </w:p>
        </w:tc>
        <w:tc>
          <w:tcPr>
            <w:tcW w:w="3174"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lang w:val="en-US" w:eastAsia="zh-CN"/>
              </w:rPr>
              <w:t>谈判</w:t>
            </w:r>
            <w:r>
              <w:rPr>
                <w:rFonts w:hint="eastAsia" w:cs="Wingdings" w:asciiTheme="minorEastAsia" w:hAnsiTheme="minorEastAsia"/>
                <w:b/>
                <w:sz w:val="24"/>
              </w:rPr>
              <w:t>文件要求</w:t>
            </w:r>
          </w:p>
        </w:tc>
        <w:tc>
          <w:tcPr>
            <w:tcW w:w="2276"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供应商承诺</w:t>
            </w:r>
          </w:p>
        </w:tc>
        <w:tc>
          <w:tcPr>
            <w:tcW w:w="1223" w:type="dxa"/>
            <w:vAlign w:val="center"/>
          </w:tcPr>
          <w:p>
            <w:pPr>
              <w:pStyle w:val="9"/>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6" w:hRule="atLeast"/>
          <w:jc w:val="center"/>
        </w:trPr>
        <w:tc>
          <w:tcPr>
            <w:tcW w:w="795"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455" w:type="dxa"/>
            <w:vAlign w:val="center"/>
          </w:tcPr>
          <w:p>
            <w:pPr>
              <w:jc w:val="center"/>
              <w:rPr>
                <w:rFonts w:ascii="宋体" w:hAnsi="宋体" w:eastAsia="宋体"/>
                <w:sz w:val="24"/>
              </w:rPr>
            </w:pPr>
            <w:r>
              <w:rPr>
                <w:rFonts w:hint="eastAsia" w:asciiTheme="minorEastAsia" w:hAnsiTheme="minorEastAsia" w:eastAsiaTheme="minorEastAsia"/>
                <w:sz w:val="24"/>
                <w:lang w:val="en-US" w:eastAsia="zh-CN"/>
              </w:rPr>
              <w:t>结算</w:t>
            </w:r>
            <w:r>
              <w:rPr>
                <w:rFonts w:asciiTheme="minorEastAsia" w:hAnsiTheme="minorEastAsia" w:eastAsiaTheme="minorEastAsia"/>
                <w:sz w:val="24"/>
              </w:rPr>
              <w:t>方式</w:t>
            </w:r>
          </w:p>
        </w:tc>
        <w:tc>
          <w:tcPr>
            <w:tcW w:w="3174" w:type="dxa"/>
            <w:vAlign w:val="center"/>
          </w:tcPr>
          <w:p>
            <w:pPr>
              <w:spacing w:line="276" w:lineRule="auto"/>
              <w:jc w:val="left"/>
              <w:rPr>
                <w:rFonts w:asciiTheme="minorEastAsia" w:hAnsiTheme="minorEastAsia" w:eastAsiaTheme="minorEastAsia"/>
                <w:sz w:val="24"/>
                <w:u w:val="none"/>
              </w:rPr>
            </w:pPr>
            <w:r>
              <w:rPr>
                <w:rFonts w:hint="eastAsia" w:asciiTheme="minorEastAsia" w:hAnsiTheme="minorEastAsia" w:eastAsiaTheme="minorEastAsia"/>
                <w:color w:val="auto"/>
                <w:sz w:val="24"/>
                <w:highlight w:val="none"/>
                <w:u w:val="none"/>
                <w:lang w:val="en-US" w:eastAsia="zh-CN"/>
              </w:rPr>
              <w:t>成交供应商每半年按照回收清单上的数量及成交价格据实结算，将回收费用转账至医院账户。</w:t>
            </w:r>
          </w:p>
        </w:tc>
        <w:tc>
          <w:tcPr>
            <w:tcW w:w="2276" w:type="dxa"/>
            <w:vAlign w:val="center"/>
          </w:tcPr>
          <w:p>
            <w:pPr>
              <w:jc w:val="center"/>
              <w:rPr>
                <w:rFonts w:asciiTheme="minorEastAsia" w:hAnsiTheme="minorEastAsia" w:eastAsiaTheme="minorEastAsia"/>
                <w:sz w:val="24"/>
                <w:u w:val="none"/>
              </w:rPr>
            </w:pPr>
          </w:p>
        </w:tc>
        <w:tc>
          <w:tcPr>
            <w:tcW w:w="1223"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95"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455" w:type="dxa"/>
            <w:vAlign w:val="center"/>
          </w:tcPr>
          <w:p>
            <w:pPr>
              <w:jc w:val="center"/>
              <w:rPr>
                <w:rFonts w:ascii="宋体" w:hAnsi="宋体" w:eastAsia="宋体"/>
                <w:sz w:val="24"/>
              </w:rPr>
            </w:pPr>
            <w:r>
              <w:rPr>
                <w:rFonts w:hint="eastAsia" w:ascii="宋体" w:hAnsi="宋体" w:eastAsia="宋体"/>
                <w:sz w:val="24"/>
              </w:rPr>
              <w:t>服务地点</w:t>
            </w:r>
          </w:p>
        </w:tc>
        <w:tc>
          <w:tcPr>
            <w:tcW w:w="3174" w:type="dxa"/>
            <w:vAlign w:val="center"/>
          </w:tcPr>
          <w:p>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276" w:type="dxa"/>
            <w:vAlign w:val="center"/>
          </w:tcPr>
          <w:p>
            <w:pPr>
              <w:jc w:val="center"/>
              <w:rPr>
                <w:rFonts w:asciiTheme="minorEastAsia" w:hAnsiTheme="minorEastAsia" w:eastAsiaTheme="minorEastAsia"/>
                <w:sz w:val="24"/>
              </w:rPr>
            </w:pPr>
          </w:p>
        </w:tc>
        <w:tc>
          <w:tcPr>
            <w:tcW w:w="1223"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95"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455" w:type="dxa"/>
            <w:vAlign w:val="center"/>
          </w:tcPr>
          <w:p>
            <w:pPr>
              <w:jc w:val="center"/>
              <w:rPr>
                <w:rFonts w:ascii="宋体" w:hAnsi="宋体" w:eastAsia="宋体"/>
                <w:sz w:val="24"/>
              </w:rPr>
            </w:pPr>
            <w:r>
              <w:rPr>
                <w:rFonts w:hint="eastAsia" w:ascii="宋体" w:hAnsi="宋体" w:eastAsia="宋体"/>
                <w:sz w:val="24"/>
              </w:rPr>
              <w:t>服务期限</w:t>
            </w:r>
          </w:p>
        </w:tc>
        <w:tc>
          <w:tcPr>
            <w:tcW w:w="3174" w:type="dxa"/>
            <w:vAlign w:val="center"/>
          </w:tcPr>
          <w:p>
            <w:pPr>
              <w:jc w:val="left"/>
              <w:rPr>
                <w:rFonts w:asciiTheme="minorEastAsia" w:hAnsiTheme="minorEastAsia" w:eastAsiaTheme="minorEastAsia"/>
                <w:sz w:val="24"/>
              </w:rPr>
            </w:pPr>
            <w:r>
              <w:rPr>
                <w:rFonts w:hint="eastAsia" w:ascii="宋体" w:hAnsi="宋体" w:eastAsia="宋体"/>
                <w:b w:val="0"/>
                <w:color w:val="auto"/>
                <w:sz w:val="24"/>
                <w:highlight w:val="none"/>
                <w:u w:val="none"/>
                <w:lang w:val="en-US" w:eastAsia="zh-CN"/>
              </w:rPr>
              <w:t>自合同签订之日起1年。合同履约完成后，经采购人考核合格且双方同意的前提下，可续签下一年度合同，合同一年一签，最多续签两次，合同金额不变。</w:t>
            </w:r>
          </w:p>
        </w:tc>
        <w:tc>
          <w:tcPr>
            <w:tcW w:w="2276" w:type="dxa"/>
            <w:vAlign w:val="center"/>
          </w:tcPr>
          <w:p>
            <w:pPr>
              <w:pStyle w:val="23"/>
              <w:jc w:val="center"/>
              <w:rPr>
                <w:rFonts w:asciiTheme="minorEastAsia" w:hAnsiTheme="minorEastAsia" w:eastAsiaTheme="minorEastAsia"/>
              </w:rPr>
            </w:pPr>
          </w:p>
        </w:tc>
        <w:tc>
          <w:tcPr>
            <w:tcW w:w="1223" w:type="dxa"/>
            <w:vAlign w:val="center"/>
          </w:tcPr>
          <w:p>
            <w:pPr>
              <w:jc w:val="center"/>
              <w:rPr>
                <w:rFonts w:asciiTheme="minorEastAsia" w:hAnsiTheme="minorEastAsia" w:eastAsiaTheme="minorEastAsia"/>
                <w:sz w:val="24"/>
              </w:rPr>
            </w:pPr>
          </w:p>
        </w:tc>
      </w:tr>
    </w:tbl>
    <w:p>
      <w:pPr>
        <w:pStyle w:val="6"/>
        <w:ind w:left="0" w:leftChars="0" w:firstLine="0" w:firstLineChars="0"/>
      </w:pPr>
    </w:p>
    <w:p/>
    <w:p>
      <w:pPr>
        <w:pStyle w:val="5"/>
      </w:pPr>
    </w:p>
    <w:p>
      <w:pPr>
        <w:pStyle w:val="6"/>
      </w:pPr>
    </w:p>
    <w:p/>
    <w:p>
      <w:pPr>
        <w:pStyle w:val="5"/>
      </w:pPr>
    </w:p>
    <w:p>
      <w:pPr>
        <w:pStyle w:val="6"/>
      </w:pPr>
    </w:p>
    <w:p/>
    <w:p>
      <w:pPr>
        <w:pStyle w:val="5"/>
      </w:pPr>
    </w:p>
    <w:p>
      <w:pPr>
        <w:pStyle w:val="6"/>
      </w:pPr>
    </w:p>
    <w:p/>
    <w:p>
      <w:pPr>
        <w:pStyle w:val="5"/>
      </w:pPr>
    </w:p>
    <w:p>
      <w:pPr>
        <w:pStyle w:val="6"/>
      </w:pPr>
    </w:p>
    <w:p/>
    <w:p>
      <w:pPr>
        <w:pStyle w:val="5"/>
      </w:pPr>
    </w:p>
    <w:p>
      <w:pPr>
        <w:pStyle w:val="6"/>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pPr>
        <w:spacing w:line="360" w:lineRule="auto"/>
        <w:rPr>
          <w:rFonts w:hint="eastAsia" w:ascii="宋体" w:hAnsi="宋体" w:eastAsia="宋体" w:cstheme="minorBidi"/>
          <w:kern w:val="2"/>
          <w:sz w:val="24"/>
          <w:szCs w:val="28"/>
          <w:lang w:val="en-US" w:eastAsia="zh-CN" w:bidi="ar-SA"/>
        </w:rPr>
      </w:pP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针对谈判文件服务需求中的所有条款，我单位承诺完全满足（或优于）谈判文件要求，如履约期间所提供的服务不满足谈判文件要求，我单位承担由此产生的一切后果及责任。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供应商盖章：</w:t>
      </w: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日      期：</w:t>
      </w:r>
    </w:p>
    <w:p>
      <w:pPr>
        <w:pStyle w:val="2"/>
      </w:pPr>
    </w:p>
    <w:p>
      <w:pPr>
        <w:widowControl/>
        <w:jc w:val="center"/>
        <w:rPr>
          <w:rFonts w:hint="eastAsia" w:asciiTheme="minorEastAsia" w:hAnsiTheme="minorEastAsia" w:eastAsiaTheme="minorEastAsia"/>
          <w:b/>
          <w:sz w:val="24"/>
        </w:rPr>
      </w:pPr>
      <w:bookmarkStart w:id="69" w:name="_Toc20592"/>
      <w:bookmarkStart w:id="70" w:name="_Hlk44283088"/>
      <w:bookmarkStart w:id="71" w:name="_Toc2278"/>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bookmarkEnd w:id="69"/>
    <w:bookmarkEnd w:id="70"/>
    <w:bookmarkEnd w:id="71"/>
    <w:p>
      <w:pPr>
        <w:spacing w:line="360" w:lineRule="auto"/>
        <w:jc w:val="center"/>
        <w:outlineLvl w:val="1"/>
        <w:rPr>
          <w:rFonts w:hint="eastAsia" w:asciiTheme="minorEastAsia" w:hAnsiTheme="minorEastAsia" w:eastAsiaTheme="minorEastAsia"/>
          <w:b/>
          <w:sz w:val="24"/>
          <w:lang w:val="en-US" w:eastAsia="zh-CN"/>
        </w:rPr>
      </w:pPr>
      <w:bookmarkStart w:id="72" w:name="_Toc7807"/>
      <w:bookmarkStart w:id="73" w:name="_Toc3826"/>
      <w:r>
        <w:rPr>
          <w:rFonts w:hint="eastAsia" w:asciiTheme="minorEastAsia" w:hAnsiTheme="minorEastAsia" w:eastAsiaTheme="minorEastAsia"/>
          <w:b/>
          <w:sz w:val="24"/>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公</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both"/>
        <w:rPr>
          <w:rFonts w:hint="eastAsia" w:asciiTheme="minorEastAsia" w:hAnsiTheme="minorEastAsia" w:eastAsiaTheme="minorEastAsia"/>
          <w:b/>
          <w:sz w:val="24"/>
          <w:lang w:val="en-US" w:eastAsia="zh-CN"/>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pPr>
        <w:spacing w:line="360" w:lineRule="auto"/>
        <w:rPr>
          <w:rFonts w:asciiTheme="minorEastAsia" w:hAnsiTheme="minorEastAsia" w:eastAsiaTheme="minorEastAsia"/>
          <w:b/>
          <w:bCs/>
          <w:sz w:val="24"/>
        </w:rPr>
      </w:pPr>
    </w:p>
    <w:p>
      <w:pPr>
        <w:spacing w:line="360" w:lineRule="auto"/>
        <w:rPr>
          <w:rFonts w:hint="default" w:asciiTheme="minorEastAsia" w:hAnsiTheme="minorEastAsia" w:eastAsiaTheme="minorEastAsia"/>
          <w:b/>
          <w:bCs/>
          <w:sz w:val="24"/>
          <w:u w:val="single"/>
          <w:lang w:val="en-US" w:eastAsia="zh-CN"/>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lang w:val="en-US" w:eastAsia="zh-CN"/>
        </w:rPr>
        <w:t>长丰县人民医院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公</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outlineLvl w:val="1"/>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bookmarkEnd w:id="72"/>
      <w:bookmarkEnd w:id="73"/>
      <w:r>
        <w:rPr>
          <w:rFonts w:hint="eastAsia" w:asciiTheme="minorEastAsia" w:hAnsiTheme="minorEastAsia" w:eastAsiaTheme="minorEastAsia"/>
          <w:b/>
          <w:sz w:val="24"/>
          <w:lang w:val="en-US" w:eastAsia="zh-CN"/>
        </w:rPr>
        <w:t>营业执照、专用资格条件等证明材料</w:t>
      </w:r>
    </w:p>
    <w:p>
      <w:pPr>
        <w:spacing w:line="360" w:lineRule="auto"/>
        <w:ind w:firstLine="435"/>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pStyle w:val="5"/>
        <w:rPr>
          <w:rFonts w:hint="eastAsia"/>
          <w:lang w:val="en-US" w:eastAsia="zh-CN"/>
        </w:rPr>
      </w:pPr>
    </w:p>
    <w:p>
      <w:pPr>
        <w:pStyle w:val="6"/>
        <w:rPr>
          <w:rFonts w:hint="eastAsia"/>
          <w:lang w:val="en-US" w:eastAsia="zh-CN"/>
        </w:rPr>
      </w:pPr>
    </w:p>
    <w:p>
      <w:pPr>
        <w:rPr>
          <w:rFonts w:hint="eastAsia"/>
          <w:lang w:val="en-US" w:eastAsia="zh-CN"/>
        </w:rPr>
      </w:pPr>
    </w:p>
    <w:p>
      <w:pPr>
        <w:spacing w:line="360" w:lineRule="auto"/>
        <w:jc w:val="both"/>
        <w:outlineLvl w:val="0"/>
        <w:rPr>
          <w:rFonts w:hint="eastAsia" w:ascii="宋体" w:hAnsi="宋体" w:eastAsia="宋体"/>
          <w:b/>
          <w:bCs/>
          <w:sz w:val="28"/>
        </w:rPr>
      </w:pPr>
      <w:bookmarkStart w:id="74" w:name="_Toc63440924"/>
      <w:bookmarkStart w:id="75" w:name="_Toc19418"/>
    </w:p>
    <w:p>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74"/>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5"/>
    </w:p>
    <w:p>
      <w:pPr>
        <w:spacing w:line="360" w:lineRule="auto"/>
        <w:jc w:val="center"/>
        <w:outlineLvl w:val="1"/>
        <w:rPr>
          <w:rFonts w:ascii="仿宋" w:hAnsi="仿宋" w:eastAsia="仿宋" w:cs="仿宋"/>
          <w:b/>
          <w:bCs/>
          <w:sz w:val="32"/>
          <w:szCs w:val="44"/>
        </w:rPr>
      </w:pPr>
      <w:bookmarkStart w:id="76" w:name="_Toc8735"/>
      <w:bookmarkStart w:id="77" w:name="_Toc2142"/>
      <w:r>
        <w:rPr>
          <w:rFonts w:hint="eastAsia" w:ascii="仿宋" w:hAnsi="仿宋" w:eastAsia="仿宋" w:cs="仿宋"/>
          <w:b/>
          <w:bCs/>
          <w:sz w:val="32"/>
          <w:szCs w:val="44"/>
        </w:rPr>
        <w:t>询问函范本</w:t>
      </w:r>
      <w:bookmarkEnd w:id="76"/>
      <w:bookmarkEnd w:id="77"/>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78" w:name="_Toc26386"/>
      <w:bookmarkStart w:id="79" w:name="_Toc9092"/>
      <w:r>
        <w:rPr>
          <w:rFonts w:hint="eastAsia" w:cs="仿宋" w:asciiTheme="minorEastAsia" w:hAnsiTheme="minorEastAsia" w:eastAsiaTheme="minorEastAsia"/>
          <w:sz w:val="24"/>
          <w:szCs w:val="24"/>
        </w:rPr>
        <w:t>一、(事项一)</w:t>
      </w:r>
      <w:bookmarkEnd w:id="78"/>
      <w:bookmarkEnd w:id="79"/>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0" w:name="_Toc9273"/>
      <w:bookmarkStart w:id="81" w:name="_Toc17582"/>
      <w:r>
        <w:rPr>
          <w:rFonts w:hint="eastAsia" w:cs="仿宋" w:asciiTheme="minorEastAsia" w:hAnsiTheme="minorEastAsia" w:eastAsiaTheme="minorEastAsia"/>
          <w:sz w:val="24"/>
          <w:szCs w:val="24"/>
        </w:rPr>
        <w:t>二、(事项二)</w:t>
      </w:r>
      <w:bookmarkEnd w:id="80"/>
      <w:bookmarkEnd w:id="81"/>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82" w:name="_Toc26673"/>
      <w:bookmarkStart w:id="83" w:name="_Toc6990"/>
      <w:r>
        <w:rPr>
          <w:rFonts w:hint="eastAsia" w:ascii="仿宋" w:hAnsi="仿宋" w:eastAsia="仿宋" w:cs="仿宋"/>
          <w:b/>
          <w:bCs/>
          <w:sz w:val="32"/>
          <w:szCs w:val="44"/>
        </w:rPr>
        <w:t>质疑函范本</w:t>
      </w:r>
      <w:bookmarkEnd w:id="82"/>
      <w:bookmarkEnd w:id="83"/>
    </w:p>
    <w:p>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84" w:name="_Toc2994"/>
      <w:bookmarkStart w:id="85" w:name="_Toc29510"/>
      <w:r>
        <w:rPr>
          <w:rFonts w:hint="eastAsia" w:cs="仿宋" w:asciiTheme="minorEastAsia" w:hAnsiTheme="minorEastAsia" w:eastAsiaTheme="minorEastAsia"/>
          <w:b/>
          <w:bCs/>
          <w:sz w:val="24"/>
          <w:szCs w:val="24"/>
        </w:rPr>
        <w:t>一、质疑供应商基本信息</w:t>
      </w:r>
      <w:bookmarkEnd w:id="84"/>
      <w:bookmarkEnd w:id="85"/>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86" w:name="_Toc28130"/>
      <w:bookmarkStart w:id="87" w:name="_Toc31042"/>
      <w:r>
        <w:rPr>
          <w:rFonts w:hint="eastAsia" w:cs="仿宋" w:asciiTheme="minorEastAsia" w:hAnsiTheme="minorEastAsia" w:eastAsiaTheme="minorEastAsia"/>
          <w:b/>
          <w:bCs/>
          <w:sz w:val="24"/>
          <w:szCs w:val="24"/>
        </w:rPr>
        <w:t>二、质疑项目基本情况</w:t>
      </w:r>
      <w:bookmarkEnd w:id="86"/>
      <w:bookmarkEnd w:id="87"/>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88" w:name="_Toc6486"/>
      <w:bookmarkStart w:id="89" w:name="_Toc20587"/>
      <w:r>
        <w:rPr>
          <w:rFonts w:hint="eastAsia" w:cs="仿宋" w:asciiTheme="minorEastAsia" w:hAnsiTheme="minorEastAsia" w:eastAsiaTheme="minorEastAsia"/>
          <w:b/>
          <w:bCs/>
          <w:sz w:val="24"/>
          <w:szCs w:val="24"/>
        </w:rPr>
        <w:t>三、质疑事项具体内容</w:t>
      </w:r>
      <w:bookmarkEnd w:id="88"/>
      <w:bookmarkEnd w:id="89"/>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90" w:name="_Toc32755"/>
      <w:bookmarkStart w:id="91" w:name="_Toc20470"/>
      <w:r>
        <w:rPr>
          <w:rFonts w:hint="eastAsia" w:cs="仿宋" w:asciiTheme="minorEastAsia" w:hAnsiTheme="minorEastAsia" w:eastAsiaTheme="minorEastAsia"/>
          <w:b/>
          <w:bCs/>
          <w:sz w:val="24"/>
          <w:szCs w:val="24"/>
        </w:rPr>
        <w:t>四、与质疑事项相关的质疑请求</w:t>
      </w:r>
      <w:bookmarkEnd w:id="90"/>
      <w:bookmarkEnd w:id="91"/>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80F62"/>
    <w:multiLevelType w:val="singleLevel"/>
    <w:tmpl w:val="FBD80F62"/>
    <w:lvl w:ilvl="0" w:tentative="0">
      <w:start w:val="5"/>
      <w:numFmt w:val="chineseCounting"/>
      <w:suff w:val="space"/>
      <w:lvlText w:val="第%1章"/>
      <w:lvlJc w:val="left"/>
      <w:rPr>
        <w:rFonts w:hint="eastAsia"/>
      </w:rPr>
    </w:lvl>
  </w:abstractNum>
  <w:abstractNum w:abstractNumId="1">
    <w:nsid w:val="443F53E2"/>
    <w:multiLevelType w:val="singleLevel"/>
    <w:tmpl w:val="443F53E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61DA5"/>
    <w:rsid w:val="13246508"/>
    <w:rsid w:val="14E562B9"/>
    <w:rsid w:val="1EEE6A02"/>
    <w:rsid w:val="218704A5"/>
    <w:rsid w:val="22707203"/>
    <w:rsid w:val="24FE561C"/>
    <w:rsid w:val="2C996CA0"/>
    <w:rsid w:val="2CE907DB"/>
    <w:rsid w:val="2E054E7B"/>
    <w:rsid w:val="33FE6532"/>
    <w:rsid w:val="38C80466"/>
    <w:rsid w:val="3D3E3616"/>
    <w:rsid w:val="410138B9"/>
    <w:rsid w:val="479C0464"/>
    <w:rsid w:val="532A1303"/>
    <w:rsid w:val="541B0057"/>
    <w:rsid w:val="5D144E25"/>
    <w:rsid w:val="5E093B1F"/>
    <w:rsid w:val="5E81015D"/>
    <w:rsid w:val="6068209D"/>
    <w:rsid w:val="61830464"/>
    <w:rsid w:val="62B74783"/>
    <w:rsid w:val="643C2DA4"/>
    <w:rsid w:val="679D068C"/>
    <w:rsid w:val="690A7975"/>
    <w:rsid w:val="6AD22019"/>
    <w:rsid w:val="706C6F95"/>
    <w:rsid w:val="73D656F4"/>
    <w:rsid w:val="74C962EC"/>
    <w:rsid w:val="74CF75A5"/>
    <w:rsid w:val="76A06B00"/>
    <w:rsid w:val="77104AF0"/>
    <w:rsid w:val="78BC0008"/>
    <w:rsid w:val="78F7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99"/>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99"/>
    <w:rPr>
      <w:rFonts w:ascii="宋体" w:hAnsi="Courier New" w:eastAsiaTheme="minorEastAsia" w:cstheme="minorBidi"/>
      <w:szCs w:val="22"/>
    </w:rPr>
  </w:style>
  <w:style w:type="paragraph" w:styleId="10">
    <w:name w:val="Date"/>
    <w:basedOn w:val="1"/>
    <w:next w:val="1"/>
    <w:qFormat/>
    <w:uiPriority w:val="0"/>
    <w:rPr>
      <w:rFonts w:ascii="Arial" w:hAnsi="Arial" w:eastAsia="宋体" w:cs="Arial"/>
      <w:b/>
      <w:sz w:val="2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4">
    <w:name w:val="List"/>
    <w:basedOn w:val="1"/>
    <w:qFormat/>
    <w:uiPriority w:val="0"/>
    <w:pPr>
      <w:ind w:left="420" w:hanging="420"/>
    </w:pPr>
    <w:rPr>
      <w:rFonts w:ascii="Arial" w:hAnsi="Arial" w:eastAsia="楷体_GB2312"/>
      <w:kern w:val="2"/>
      <w:sz w:val="28"/>
    </w:rPr>
  </w:style>
  <w:style w:type="paragraph" w:styleId="15">
    <w:name w:val="Body Text First Indent 2"/>
    <w:basedOn w:val="7"/>
    <w:next w:val="14"/>
    <w:unhideWhenUsed/>
    <w:qFormat/>
    <w:uiPriority w:val="99"/>
    <w:pPr>
      <w:ind w:firstLine="420" w:firstLineChars="200"/>
    </w:pPr>
  </w:style>
  <w:style w:type="table" w:styleId="17">
    <w:name w:val="Table Grid"/>
    <w:basedOn w:val="1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xl31"/>
    <w:basedOn w:val="1"/>
    <w:qFormat/>
    <w:uiPriority w:val="0"/>
    <w:pPr>
      <w:widowControl/>
      <w:spacing w:before="100" w:beforeAutospacing="1" w:after="100" w:afterAutospacing="1"/>
      <w:jc w:val="center"/>
    </w:pPr>
    <w:rPr>
      <w:b/>
      <w:bCs/>
      <w:kern w:val="0"/>
      <w:sz w:val="28"/>
      <w:szCs w:val="28"/>
    </w:rPr>
  </w:style>
  <w:style w:type="paragraph" w:customStyle="1" w:styleId="20">
    <w:name w:val="D&amp;L"/>
    <w:basedOn w:val="1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纯文本1"/>
    <w:basedOn w:val="1"/>
    <w:qFormat/>
    <w:uiPriority w:val="0"/>
    <w:rPr>
      <w:rFonts w:ascii="Arial" w:hAnsi="Arial" w:eastAsia="Arial" w:cstheme="minorBidi"/>
    </w:rPr>
  </w:style>
  <w:style w:type="paragraph" w:customStyle="1" w:styleId="23">
    <w:name w:val="Char Char Char Char Char Char Char1 Char"/>
    <w:basedOn w:val="1"/>
    <w:qFormat/>
    <w:uiPriority w:val="0"/>
    <w:rPr>
      <w:rFonts w:ascii="Arial" w:hAnsi="Arial" w:eastAsia="宋体" w:cs="Arial"/>
      <w:sz w:val="24"/>
    </w:rPr>
  </w:style>
  <w:style w:type="paragraph" w:customStyle="1" w:styleId="24">
    <w:name w:val="Table Paragraph"/>
    <w:basedOn w:val="1"/>
    <w:qFormat/>
    <w:uiPriority w:val="1"/>
  </w:style>
  <w:style w:type="table" w:customStyle="1" w:styleId="25">
    <w:name w:val="Table Normal"/>
    <w:unhideWhenUsed/>
    <w:qFormat/>
    <w:uiPriority w:val="2"/>
    <w:tblPr>
      <w:tblCellMar>
        <w:top w:w="0" w:type="dxa"/>
        <w:left w:w="0" w:type="dxa"/>
        <w:bottom w:w="0" w:type="dxa"/>
        <w:right w:w="0" w:type="dxa"/>
      </w:tblCellMar>
    </w:tblPr>
  </w:style>
  <w:style w:type="paragraph" w:customStyle="1" w:styleId="2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慧</cp:lastModifiedBy>
  <dcterms:modified xsi:type="dcterms:W3CDTF">2026-04-17T02:04:24Z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96AC9D1148764212887ED04B8FD7625E</vt:lpwstr>
  </property>
</Properties>
</file>