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0" w:after="0"/>
        <w:ind w:left="420" w:leftChars="0" w:hanging="42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长丰县人民医院老液氧站拆除及空压</w:t>
      </w:r>
    </w:p>
    <w:p>
      <w:pPr>
        <w:numPr>
          <w:ilvl w:val="0"/>
          <w:numId w:val="0"/>
        </w:numPr>
        <w:spacing w:before="0" w:after="0"/>
        <w:ind w:left="420" w:leftChars="0" w:hanging="42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管道对接服务竞争性磋商文件</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numPr>
          <w:ilvl w:val="0"/>
          <w:numId w:val="0"/>
        </w:numPr>
        <w:spacing w:before="0" w:after="0"/>
        <w:ind w:firstLine="723" w:firstLineChars="200"/>
        <w:rPr>
          <w:rFonts w:hint="default" w:ascii="宋体" w:hAnsi="宋体" w:eastAsia="宋体"/>
          <w:b/>
          <w:spacing w:val="20"/>
          <w:kern w:val="0"/>
          <w:sz w:val="32"/>
          <w:szCs w:val="32"/>
          <w:highlight w:val="none"/>
          <w:u w:val="single"/>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highlight w:val="none"/>
          <w:lang w:eastAsia="zh-CN"/>
        </w:rPr>
        <w:t>：</w:t>
      </w:r>
      <w:bookmarkStart w:id="0" w:name="OLE_LINK2"/>
      <w:r>
        <w:rPr>
          <w:rFonts w:hint="eastAsia" w:ascii="宋体" w:hAnsi="宋体" w:eastAsia="宋体"/>
          <w:b/>
          <w:spacing w:val="20"/>
          <w:kern w:val="0"/>
          <w:sz w:val="32"/>
          <w:szCs w:val="32"/>
          <w:highlight w:val="none"/>
          <w:u w:val="single"/>
          <w:lang w:val="en-US" w:eastAsia="zh-CN"/>
        </w:rPr>
        <w:t>长丰县人民医院老液氧站拆除及空压管道对接服务</w:t>
      </w:r>
    </w:p>
    <w:bookmarkEnd w:id="0"/>
    <w:p>
      <w:pPr>
        <w:tabs>
          <w:tab w:val="left" w:pos="2410"/>
        </w:tabs>
        <w:autoSpaceDE w:val="0"/>
        <w:autoSpaceDN w:val="0"/>
        <w:adjustRightInd w:val="0"/>
        <w:snapToGrid w:val="0"/>
        <w:spacing w:line="360" w:lineRule="auto"/>
        <w:rPr>
          <w:rFonts w:hint="default" w:ascii="宋体" w:hAnsi="宋体" w:eastAsia="宋体"/>
          <w:b/>
          <w:spacing w:val="20"/>
          <w:kern w:val="0"/>
          <w:sz w:val="32"/>
          <w:szCs w:val="32"/>
          <w:u w:val="single"/>
          <w:lang w:val="en-US" w:eastAsia="zh-CN"/>
        </w:rPr>
      </w:pPr>
    </w:p>
    <w:p>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w:t>
      </w:r>
      <w:r>
        <w:rPr>
          <w:rFonts w:hint="eastAsia" w:ascii="宋体" w:hAnsi="宋体" w:eastAsia="宋体"/>
          <w:b/>
          <w:spacing w:val="20"/>
          <w:kern w:val="0"/>
          <w:sz w:val="32"/>
          <w:szCs w:val="32"/>
          <w:u w:val="single"/>
          <w:lang w:val="en-US" w:eastAsia="zh-CN"/>
        </w:rPr>
        <w:t xml:space="preserve">08 </w:t>
      </w:r>
    </w:p>
    <w:p>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长丰县人民医院</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rPr>
        <w:t xml:space="preserve">      </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6</w:t>
      </w:r>
      <w:bookmarkStart w:id="101" w:name="_GoBack"/>
      <w:bookmarkEnd w:id="101"/>
      <w:r>
        <w:rPr>
          <w:rFonts w:hint="eastAsia" w:ascii="宋体" w:hAnsi="宋体" w:eastAsia="宋体"/>
          <w:b/>
          <w:sz w:val="36"/>
          <w:u w:val="single"/>
        </w:rPr>
        <w:t xml:space="preserve"> </w:t>
      </w:r>
      <w:r>
        <w:rPr>
          <w:rFonts w:hint="eastAsia" w:ascii="宋体" w:hAnsi="宋体" w:eastAsia="宋体"/>
          <w:b/>
          <w:sz w:val="36"/>
        </w:rPr>
        <w:t>月</w:t>
      </w:r>
    </w:p>
    <w:p/>
    <w:p>
      <w:pPr>
        <w:pStyle w:val="2"/>
      </w:pPr>
    </w:p>
    <w:p>
      <w:pPr>
        <w:pStyle w:val="3"/>
      </w:pPr>
    </w:p>
    <w:p/>
    <w:p>
      <w:pPr>
        <w:pStyle w:val="2"/>
      </w:pPr>
    </w:p>
    <w:p>
      <w:pPr>
        <w:pStyle w:val="3"/>
      </w:pPr>
    </w:p>
    <w:p/>
    <w:p>
      <w:pPr>
        <w:pStyle w:val="2"/>
      </w:pPr>
    </w:p>
    <w:p>
      <w:pPr>
        <w:pStyle w:val="3"/>
      </w:pPr>
    </w:p>
    <w:p/>
    <w:p>
      <w:pPr>
        <w:pStyle w:val="2"/>
      </w:pPr>
    </w:p>
    <w:p>
      <w:pPr>
        <w:pStyle w:val="3"/>
      </w:pPr>
    </w:p>
    <w:p/>
    <w:p>
      <w:pPr>
        <w:tabs>
          <w:tab w:val="left" w:pos="2410"/>
        </w:tabs>
        <w:autoSpaceDE w:val="0"/>
        <w:autoSpaceDN w:val="0"/>
        <w:adjustRightInd w:val="0"/>
        <w:snapToGrid w:val="0"/>
        <w:spacing w:line="360" w:lineRule="auto"/>
        <w:jc w:val="center"/>
        <w:rPr>
          <w:rFonts w:hint="eastAsia" w:ascii="宋体" w:hAnsi="宋体" w:eastAsia="宋体"/>
          <w:b/>
          <w:sz w:val="28"/>
        </w:rPr>
      </w:pP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tabs>
          <w:tab w:val="left" w:pos="2410"/>
        </w:tabs>
        <w:autoSpaceDE w:val="0"/>
        <w:autoSpaceDN w:val="0"/>
        <w:adjustRightInd w:val="0"/>
        <w:snapToGrid w:val="0"/>
        <w:spacing w:line="360" w:lineRule="auto"/>
        <w:jc w:val="center"/>
        <w:rPr>
          <w:rFonts w:ascii="宋体" w:hAnsi="宋体" w:eastAsia="宋体"/>
          <w:b/>
          <w:sz w:val="28"/>
        </w:rPr>
      </w:pPr>
    </w:p>
    <w:p>
      <w:pPr>
        <w:pStyle w:val="11"/>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磋商邀请</w:t>
      </w:r>
      <w:r>
        <w:tab/>
      </w:r>
      <w:r>
        <w:rPr>
          <w:rFonts w:hint="eastAsia"/>
          <w:lang w:val="en-US" w:eastAsia="zh-CN"/>
        </w:rPr>
        <w:t>3</w:t>
      </w:r>
      <w:r>
        <w:fldChar w:fldCharType="end"/>
      </w:r>
    </w:p>
    <w:p>
      <w:pPr>
        <w:pStyle w:val="11"/>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rPr>
          <w:rFonts w:hint="eastAsia"/>
          <w:lang w:val="en-US" w:eastAsia="zh-CN"/>
        </w:rPr>
        <w:t>4</w:t>
      </w:r>
      <w:r>
        <w:fldChar w:fldCharType="end"/>
      </w:r>
    </w:p>
    <w:p>
      <w:pPr>
        <w:pStyle w:val="11"/>
        <w:tabs>
          <w:tab w:val="right" w:leader="dot" w:pos="8279"/>
        </w:tabs>
        <w:rPr>
          <w:rFonts w:hint="default" w:eastAsiaTheme="minorEastAsia"/>
          <w:lang w:val="en-US" w:eastAsia="zh-CN"/>
        </w:rPr>
      </w:pPr>
      <w:r>
        <w:fldChar w:fldCharType="begin"/>
      </w:r>
      <w:r>
        <w:instrText xml:space="preserve"> HYPERLINK \l "_Toc19440" </w:instrText>
      </w:r>
      <w:r>
        <w:fldChar w:fldCharType="separate"/>
      </w:r>
      <w:r>
        <w:rPr>
          <w:rFonts w:hint="eastAsia" w:asciiTheme="minorEastAsia" w:hAnsiTheme="minorEastAsia"/>
        </w:rPr>
        <w:t>第三章  采购需求</w:t>
      </w:r>
      <w:r>
        <w:tab/>
      </w:r>
      <w:r>
        <w:fldChar w:fldCharType="end"/>
      </w:r>
      <w:r>
        <w:rPr>
          <w:rFonts w:hint="eastAsia"/>
          <w:lang w:val="en-US" w:eastAsia="zh-CN"/>
        </w:rPr>
        <w:t>10</w:t>
      </w:r>
    </w:p>
    <w:p>
      <w:pPr>
        <w:pStyle w:val="11"/>
        <w:tabs>
          <w:tab w:val="right" w:leader="dot" w:pos="8279"/>
        </w:tabs>
        <w:rPr>
          <w:rFonts w:hint="eastAsia" w:eastAsiaTheme="minorEastAsia"/>
          <w:lang w:val="en-US" w:eastAsia="zh-CN"/>
        </w:rPr>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rPr>
          <w:rFonts w:hint="eastAsia"/>
          <w:lang w:val="en-US" w:eastAsia="zh-CN"/>
        </w:rPr>
        <w:t>1</w:t>
      </w:r>
      <w:r>
        <w:fldChar w:fldCharType="end"/>
      </w:r>
      <w:r>
        <w:rPr>
          <w:rFonts w:hint="eastAsia"/>
          <w:lang w:val="en-US" w:eastAsia="zh-CN"/>
        </w:rPr>
        <w:t>4</w:t>
      </w:r>
    </w:p>
    <w:p>
      <w:pPr>
        <w:pStyle w:val="11"/>
        <w:tabs>
          <w:tab w:val="right" w:leader="dot" w:pos="8279"/>
        </w:tabs>
        <w:rPr>
          <w:rFonts w:hint="eastAsia" w:eastAsiaTheme="minorEastAsia"/>
          <w:lang w:val="en-US" w:eastAsia="zh-CN"/>
        </w:rPr>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合同</w:t>
      </w:r>
      <w:r>
        <w:rPr>
          <w:rFonts w:hint="eastAsia" w:asciiTheme="minorEastAsia" w:hAnsiTheme="minorEastAsia"/>
        </w:rPr>
        <w:t>参考范本</w:t>
      </w:r>
      <w:r>
        <w:tab/>
      </w:r>
      <w:r>
        <w:rPr>
          <w:rFonts w:hint="eastAsia"/>
          <w:lang w:val="en-US" w:eastAsia="zh-CN"/>
        </w:rPr>
        <w:t>1</w:t>
      </w:r>
      <w:r>
        <w:fldChar w:fldCharType="end"/>
      </w:r>
      <w:r>
        <w:rPr>
          <w:rFonts w:hint="eastAsia"/>
          <w:lang w:val="en-US" w:eastAsia="zh-CN"/>
        </w:rPr>
        <w:t>9</w:t>
      </w:r>
    </w:p>
    <w:p>
      <w:pPr>
        <w:pStyle w:val="11"/>
        <w:tabs>
          <w:tab w:val="right" w:leader="dot" w:pos="8279"/>
        </w:tabs>
        <w:rPr>
          <w:rFonts w:hint="default" w:eastAsiaTheme="minorEastAsia"/>
          <w:lang w:val="en-US" w:eastAsia="zh-CN"/>
        </w:rPr>
      </w:pPr>
      <w:r>
        <w:fldChar w:fldCharType="begin"/>
      </w:r>
      <w:r>
        <w:instrText xml:space="preserve"> HYPERLINK \l "_Toc25148" </w:instrText>
      </w:r>
      <w:r>
        <w:fldChar w:fldCharType="separate"/>
      </w:r>
      <w:r>
        <w:rPr>
          <w:rFonts w:hint="eastAsia" w:asciiTheme="minorEastAsia" w:hAnsiTheme="minorEastAsia"/>
        </w:rPr>
        <w:t>第六章  响应文件格式</w:t>
      </w:r>
      <w:r>
        <w:tab/>
      </w:r>
      <w:r>
        <w:fldChar w:fldCharType="end"/>
      </w:r>
      <w:r>
        <w:rPr>
          <w:rFonts w:hint="eastAsia"/>
          <w:lang w:val="en-US" w:eastAsia="zh-CN"/>
        </w:rPr>
        <w:t>20</w:t>
      </w:r>
    </w:p>
    <w:p>
      <w:pPr>
        <w:pStyle w:val="11"/>
        <w:tabs>
          <w:tab w:val="right" w:leader="dot" w:pos="8279"/>
        </w:tabs>
        <w:rPr>
          <w:rFonts w:hint="eastAsia" w:eastAsiaTheme="minorEastAsia"/>
          <w:lang w:val="en-US" w:eastAsia="zh-CN"/>
        </w:rPr>
      </w:pPr>
      <w:r>
        <w:fldChar w:fldCharType="begin"/>
      </w:r>
      <w:r>
        <w:instrText xml:space="preserve"> HYPERLINK \l "_Toc19418" </w:instrText>
      </w:r>
      <w:r>
        <w:fldChar w:fldCharType="separate"/>
      </w:r>
      <w:r>
        <w:rPr>
          <w:rFonts w:hint="eastAsia" w:ascii="宋体" w:hAnsi="宋体" w:eastAsia="宋体"/>
          <w:bCs/>
        </w:rPr>
        <w:t xml:space="preserve">第七章  </w:t>
      </w:r>
      <w:r>
        <w:rPr>
          <w:rFonts w:hint="eastAsia" w:asciiTheme="minorEastAsia" w:hAnsiTheme="minorEastAsia"/>
        </w:rPr>
        <w:t>供应</w:t>
      </w:r>
      <w:r>
        <w:rPr>
          <w:rFonts w:hint="eastAsia" w:ascii="宋体" w:hAnsi="宋体" w:eastAsia="宋体"/>
          <w:bCs/>
        </w:rPr>
        <w:t>商询问函和质疑函范本</w:t>
      </w:r>
      <w:r>
        <w:tab/>
      </w:r>
      <w:r>
        <w:rPr>
          <w:rFonts w:hint="eastAsia"/>
          <w:lang w:val="en-US" w:eastAsia="zh-CN"/>
        </w:rPr>
        <w:t>3</w:t>
      </w:r>
      <w:r>
        <w:fldChar w:fldCharType="end"/>
      </w:r>
      <w:r>
        <w:rPr>
          <w:rFonts w:hint="eastAsia"/>
          <w:lang w:val="en-US" w:eastAsia="zh-CN"/>
        </w:rPr>
        <w:t>1</w:t>
      </w:r>
    </w:p>
    <w:p>
      <w:pPr>
        <w:pStyle w:val="2"/>
        <w:rPr>
          <w:rFonts w:asciiTheme="minorEastAsia" w:hAnsiTheme="minorEastAsia"/>
          <w:bCs/>
          <w:szCs w:val="24"/>
        </w:rPr>
      </w:pPr>
      <w:r>
        <w:rPr>
          <w:rFonts w:asciiTheme="minorEastAsia" w:hAnsiTheme="minorEastAsia"/>
          <w:bCs/>
          <w:szCs w:val="24"/>
        </w:rPr>
        <w:fldChar w:fldCharType="end"/>
      </w: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spacing w:line="360" w:lineRule="auto"/>
        <w:jc w:val="center"/>
        <w:outlineLvl w:val="0"/>
        <w:rPr>
          <w:rFonts w:asciiTheme="minorEastAsia" w:hAnsiTheme="minorEastAsia" w:eastAsiaTheme="minorEastAsia"/>
          <w:b/>
          <w:sz w:val="28"/>
        </w:rPr>
      </w:pPr>
      <w:bookmarkStart w:id="1" w:name="_Toc19988"/>
      <w:bookmarkStart w:id="2" w:name="_Toc501"/>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bookmarkEnd w:id="2"/>
    </w:p>
    <w:p>
      <w:pPr>
        <w:pStyle w:val="4"/>
        <w:spacing w:before="0" w:after="0" w:line="360" w:lineRule="auto"/>
        <w:ind w:firstLine="482" w:firstLineChars="200"/>
        <w:rPr>
          <w:rFonts w:ascii="宋体" w:hAnsi="宋体" w:eastAsia="宋体" w:cs="宋体"/>
          <w:bCs w:val="0"/>
          <w:sz w:val="24"/>
          <w:szCs w:val="24"/>
        </w:rPr>
      </w:pPr>
      <w:bookmarkStart w:id="3" w:name="_Toc35393798"/>
      <w:bookmarkStart w:id="4" w:name="_Toc28359012"/>
      <w:bookmarkStart w:id="5" w:name="_Toc14730"/>
      <w:bookmarkStart w:id="6" w:name="_Toc35393629"/>
      <w:bookmarkStart w:id="7" w:name="_Toc28359089"/>
      <w:r>
        <w:rPr>
          <w:rFonts w:hint="eastAsia" w:ascii="宋体" w:hAnsi="宋体" w:eastAsia="宋体" w:cs="宋体"/>
          <w:bCs w:val="0"/>
          <w:sz w:val="24"/>
          <w:szCs w:val="24"/>
        </w:rPr>
        <w:t>一、项目基本情况</w:t>
      </w:r>
      <w:bookmarkEnd w:id="3"/>
      <w:bookmarkEnd w:id="4"/>
      <w:bookmarkEnd w:id="5"/>
      <w:bookmarkEnd w:id="6"/>
      <w:bookmarkEnd w:id="7"/>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1.项目编号： </w:t>
      </w:r>
      <w:r>
        <w:rPr>
          <w:rFonts w:hint="eastAsia" w:ascii="宋体" w:hAnsi="宋体" w:eastAsia="宋体" w:cs="宋体"/>
          <w:sz w:val="24"/>
          <w:szCs w:val="24"/>
          <w:u w:val="single"/>
        </w:rPr>
        <w:t xml:space="preserve"> CFXRMYY202</w:t>
      </w:r>
      <w:r>
        <w:rPr>
          <w:rFonts w:hint="eastAsia" w:ascii="宋体" w:hAnsi="宋体" w:eastAsia="宋体" w:cs="宋体"/>
          <w:sz w:val="24"/>
          <w:szCs w:val="24"/>
          <w:u w:val="single"/>
          <w:lang w:val="en-US" w:eastAsia="zh-CN"/>
        </w:rPr>
        <w:t>6008</w:t>
      </w:r>
      <w:r>
        <w:rPr>
          <w:rFonts w:hint="eastAsia" w:ascii="宋体" w:hAnsi="宋体" w:eastAsia="宋体" w:cs="宋体"/>
          <w:sz w:val="24"/>
          <w:szCs w:val="24"/>
          <w:u w:val="single"/>
        </w:rPr>
        <w:t xml:space="preserve"> </w:t>
      </w:r>
    </w:p>
    <w:p>
      <w:pPr>
        <w:numPr>
          <w:ilvl w:val="0"/>
          <w:numId w:val="0"/>
        </w:numPr>
        <w:spacing w:before="0" w:after="0"/>
        <w:ind w:firstLine="480" w:firstLineChars="200"/>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u w:val="single"/>
        </w:rPr>
        <w:t xml:space="preserve"> </w:t>
      </w:r>
      <w:bookmarkStart w:id="8" w:name="OLE_LINK3"/>
      <w:r>
        <w:rPr>
          <w:rFonts w:hint="eastAsia" w:ascii="宋体" w:hAnsi="宋体" w:eastAsia="宋体" w:cs="宋体"/>
          <w:sz w:val="24"/>
          <w:szCs w:val="24"/>
          <w:u w:val="single"/>
          <w:lang w:val="en-US" w:eastAsia="zh-CN"/>
        </w:rPr>
        <w:t>长丰县人民医院老液氧站拆除及空压管道对接服务</w:t>
      </w:r>
    </w:p>
    <w:bookmarkEnd w:id="8"/>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项目预算：2.2万元</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4.最高限价：2.2万元</w:t>
      </w:r>
    </w:p>
    <w:p>
      <w:pPr>
        <w:spacing w:line="360" w:lineRule="auto"/>
        <w:ind w:firstLine="480" w:firstLineChars="200"/>
        <w:rPr>
          <w:rFonts w:hint="eastAsia" w:ascii="宋体" w:hAnsi="宋体" w:eastAsia="宋体" w:cs="宋体"/>
          <w:color w:val="auto"/>
          <w:sz w:val="24"/>
          <w:szCs w:val="24"/>
          <w:u w:val="single"/>
          <w:lang w:val="en-US" w:eastAsia="zh-CN"/>
        </w:rPr>
      </w:pPr>
      <w:bookmarkStart w:id="9" w:name="_Toc28359090"/>
      <w:bookmarkStart w:id="10" w:name="_Toc35393799"/>
      <w:bookmarkStart w:id="11" w:name="_Toc28359013"/>
      <w:bookmarkStart w:id="12" w:name="_Toc35393630"/>
      <w:bookmarkStart w:id="13" w:name="_Toc32615"/>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w:t>
      </w:r>
      <w:r>
        <w:rPr>
          <w:rFonts w:hint="eastAsia" w:ascii="宋体" w:hAnsi="宋体" w:eastAsia="宋体" w:cs="宋体"/>
          <w:color w:val="auto"/>
          <w:sz w:val="24"/>
          <w:szCs w:val="24"/>
          <w:u w:val="single"/>
          <w:lang w:val="en-US" w:eastAsia="zh-CN"/>
        </w:rPr>
        <w:t>本项目拟</w:t>
      </w:r>
      <w:r>
        <w:rPr>
          <w:rFonts w:hint="eastAsia" w:ascii="宋体" w:hAnsi="宋体" w:eastAsia="宋体"/>
          <w:color w:val="auto"/>
          <w:sz w:val="24"/>
          <w:u w:val="single"/>
          <w:lang w:val="en-US" w:eastAsia="zh-CN"/>
        </w:rPr>
        <w:t>采购一家供应商</w:t>
      </w:r>
      <w:r>
        <w:rPr>
          <w:rFonts w:hint="eastAsia" w:ascii="宋体" w:hAnsi="宋体" w:eastAsia="宋体" w:cs="宋体"/>
          <w:color w:val="auto"/>
          <w:sz w:val="24"/>
          <w:szCs w:val="24"/>
          <w:u w:val="single"/>
          <w:lang w:val="en-US" w:eastAsia="zh-CN"/>
        </w:rPr>
        <w:t>，为长丰县人民医院提供拆除老液氧站及空压管道对接服务，详见磋商文件。</w:t>
      </w:r>
    </w:p>
    <w:p>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.合同履行期限：</w:t>
      </w:r>
      <w:r>
        <w:rPr>
          <w:rFonts w:hint="eastAsia" w:ascii="宋体" w:hAnsi="宋体" w:eastAsia="宋体" w:cs="宋体"/>
          <w:color w:val="auto"/>
          <w:sz w:val="24"/>
          <w:szCs w:val="24"/>
          <w:u w:val="single"/>
          <w:lang w:val="en-US" w:eastAsia="zh-CN"/>
        </w:rPr>
        <w:t>合同后</w:t>
      </w:r>
      <w:r>
        <w:rPr>
          <w:rFonts w:hint="eastAsia" w:ascii="宋体" w:hAnsi="宋体" w:eastAsia="宋体"/>
          <w:color w:val="auto"/>
          <w:sz w:val="24"/>
          <w:u w:val="single"/>
          <w:lang w:val="en-US" w:eastAsia="zh-CN"/>
        </w:rPr>
        <w:t>7天，空压管道对接质保2年。</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7.本项目</w:t>
      </w:r>
      <w:r>
        <w:rPr>
          <w:rFonts w:hint="eastAsia" w:ascii="宋体" w:hAnsi="宋体" w:eastAsia="宋体" w:cs="宋体"/>
          <w:sz w:val="24"/>
          <w:szCs w:val="24"/>
          <w:lang w:val="en-US" w:eastAsia="zh-CN"/>
        </w:rPr>
        <w:t>是</w:t>
      </w:r>
      <w:r>
        <w:rPr>
          <w:rFonts w:hint="eastAsia" w:ascii="宋体" w:hAnsi="宋体" w:eastAsia="宋体" w:cs="宋体"/>
          <w:sz w:val="24"/>
          <w:szCs w:val="24"/>
        </w:rPr>
        <w:t>否接受联合体磋商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二、申请人的资格要求：</w:t>
      </w:r>
      <w:bookmarkEnd w:id="9"/>
      <w:bookmarkEnd w:id="10"/>
      <w:bookmarkEnd w:id="11"/>
      <w:bookmarkEnd w:id="12"/>
      <w:bookmarkEnd w:id="13"/>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val="en-US" w:eastAsia="zh-CN"/>
        </w:rPr>
      </w:pPr>
      <w:bookmarkStart w:id="14" w:name="_Toc35393800"/>
      <w:bookmarkStart w:id="15" w:name="_Toc35393631"/>
      <w:bookmarkStart w:id="16" w:name="_Toc28359014"/>
      <w:bookmarkStart w:id="17" w:name="_Toc28359091"/>
      <w:bookmarkStart w:id="18" w:name="_Toc24072"/>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三、获取采购文件</w:t>
      </w:r>
      <w:bookmarkEnd w:id="14"/>
      <w:bookmarkEnd w:id="15"/>
      <w:bookmarkEnd w:id="16"/>
      <w:bookmarkEnd w:id="17"/>
      <w:bookmarkEnd w:id="18"/>
    </w:p>
    <w:p>
      <w:pPr>
        <w:spacing w:line="360" w:lineRule="auto"/>
        <w:ind w:firstLine="540"/>
        <w:rPr>
          <w:rFonts w:asciiTheme="minorEastAsia" w:hAnsiTheme="minorEastAsia" w:eastAsiaTheme="minorEastAsia" w:cstheme="minorEastAsia"/>
          <w:sz w:val="24"/>
          <w:szCs w:val="24"/>
          <w:u w:val="single"/>
        </w:rPr>
      </w:pPr>
      <w:bookmarkStart w:id="19" w:name="_Toc35393801"/>
      <w:bookmarkStart w:id="20" w:name="_Toc35393632"/>
      <w:bookmarkStart w:id="21" w:name="_Toc28359092"/>
      <w:bookmarkStart w:id="22" w:name="_Toc28359015"/>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u w:val="single"/>
        </w:rPr>
        <w:t>详见竞争性磋商公告</w:t>
      </w:r>
    </w:p>
    <w:p>
      <w:pPr>
        <w:pStyle w:val="4"/>
        <w:numPr>
          <w:ilvl w:val="0"/>
          <w:numId w:val="1"/>
        </w:numPr>
        <w:spacing w:before="0" w:after="0" w:line="360" w:lineRule="auto"/>
        <w:ind w:firstLine="482" w:firstLineChars="200"/>
        <w:rPr>
          <w:rFonts w:ascii="宋体" w:hAnsi="宋体" w:eastAsia="宋体" w:cs="宋体"/>
          <w:bCs w:val="0"/>
          <w:sz w:val="24"/>
          <w:szCs w:val="24"/>
        </w:rPr>
      </w:pPr>
      <w:bookmarkStart w:id="23" w:name="_Toc5805"/>
      <w:r>
        <w:rPr>
          <w:rFonts w:hint="eastAsia" w:ascii="宋体" w:hAnsi="宋体" w:eastAsia="宋体" w:cs="宋体"/>
          <w:bCs w:val="0"/>
          <w:sz w:val="24"/>
          <w:szCs w:val="24"/>
        </w:rPr>
        <w:t>响应文件提交</w:t>
      </w:r>
      <w:bookmarkEnd w:id="19"/>
      <w:bookmarkEnd w:id="20"/>
      <w:bookmarkEnd w:id="21"/>
      <w:bookmarkEnd w:id="22"/>
      <w:bookmarkEnd w:id="23"/>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4"/>
        <w:numPr>
          <w:ilvl w:val="0"/>
          <w:numId w:val="1"/>
        </w:numPr>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开启</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4"/>
        <w:spacing w:before="0" w:after="0" w:line="360" w:lineRule="auto"/>
        <w:ind w:firstLine="482" w:firstLineChars="200"/>
        <w:rPr>
          <w:rFonts w:ascii="宋体" w:hAnsi="宋体" w:eastAsia="宋体" w:cs="宋体"/>
          <w:bCs w:val="0"/>
          <w:sz w:val="24"/>
          <w:szCs w:val="24"/>
        </w:rPr>
      </w:pPr>
      <w:bookmarkStart w:id="24" w:name="_Toc35393634"/>
      <w:bookmarkStart w:id="25" w:name="_Toc28359094"/>
      <w:bookmarkStart w:id="26" w:name="_Toc6935"/>
      <w:bookmarkStart w:id="27" w:name="_Toc35393803"/>
      <w:bookmarkStart w:id="28" w:name="_Toc28359017"/>
      <w:r>
        <w:rPr>
          <w:rFonts w:hint="eastAsia" w:ascii="宋体" w:hAnsi="宋体" w:eastAsia="宋体" w:cs="宋体"/>
          <w:bCs w:val="0"/>
          <w:sz w:val="24"/>
          <w:szCs w:val="24"/>
        </w:rPr>
        <w:t>六、公告期限</w:t>
      </w:r>
      <w:bookmarkEnd w:id="24"/>
      <w:bookmarkEnd w:id="25"/>
      <w:bookmarkEnd w:id="26"/>
      <w:bookmarkEnd w:id="27"/>
      <w:bookmarkEnd w:id="28"/>
    </w:p>
    <w:p>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4"/>
        <w:spacing w:before="0" w:after="0" w:line="360" w:lineRule="auto"/>
        <w:ind w:firstLine="482" w:firstLineChars="200"/>
        <w:rPr>
          <w:rFonts w:ascii="宋体" w:hAnsi="宋体" w:eastAsia="宋体" w:cs="宋体"/>
          <w:bCs w:val="0"/>
          <w:sz w:val="24"/>
          <w:szCs w:val="24"/>
        </w:rPr>
      </w:pPr>
      <w:bookmarkStart w:id="29" w:name="_Toc35393805"/>
      <w:bookmarkStart w:id="30" w:name="_Toc28359095"/>
      <w:bookmarkStart w:id="31" w:name="_Toc28359018"/>
      <w:bookmarkStart w:id="32" w:name="_Toc35393636"/>
      <w:bookmarkStart w:id="33" w:name="_Toc28099"/>
      <w:r>
        <w:rPr>
          <w:rFonts w:hint="eastAsia" w:ascii="宋体" w:hAnsi="宋体" w:eastAsia="宋体" w:cs="宋体"/>
          <w:bCs w:val="0"/>
          <w:sz w:val="24"/>
          <w:szCs w:val="24"/>
          <w:lang w:val="en-US" w:eastAsia="zh-CN"/>
        </w:rPr>
        <w:t>七</w:t>
      </w:r>
      <w:r>
        <w:rPr>
          <w:rFonts w:hint="eastAsia" w:ascii="宋体" w:hAnsi="宋体" w:eastAsia="宋体" w:cs="宋体"/>
          <w:bCs w:val="0"/>
          <w:sz w:val="24"/>
          <w:szCs w:val="24"/>
        </w:rPr>
        <w:t>、凡对本次采购提出询问，请按以下方式联系。</w:t>
      </w:r>
      <w:bookmarkEnd w:id="29"/>
      <w:bookmarkEnd w:id="30"/>
      <w:bookmarkEnd w:id="31"/>
      <w:bookmarkEnd w:id="32"/>
      <w:bookmarkEnd w:id="33"/>
    </w:p>
    <w:p>
      <w:pPr>
        <w:spacing w:line="360" w:lineRule="auto"/>
        <w:ind w:firstLine="435"/>
        <w:outlineLvl w:val="2"/>
        <w:rPr>
          <w:rFonts w:ascii="宋体" w:hAnsi="宋体" w:eastAsia="宋体"/>
          <w:sz w:val="24"/>
          <w:szCs w:val="18"/>
        </w:rPr>
      </w:pPr>
      <w:bookmarkStart w:id="34" w:name="_Toc7162"/>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lang w:val="en-US" w:eastAsia="zh-CN"/>
        </w:rPr>
        <w:t>0551-</w:t>
      </w:r>
      <w:r>
        <w:rPr>
          <w:rFonts w:ascii="宋体" w:hAnsi="宋体" w:eastAsia="宋体"/>
          <w:sz w:val="24"/>
          <w:szCs w:val="18"/>
          <w:u w:val="single"/>
        </w:rPr>
        <w:t xml:space="preserve"> </w:t>
      </w:r>
      <w:r>
        <w:rPr>
          <w:rFonts w:hint="eastAsia" w:ascii="宋体" w:hAnsi="宋体" w:eastAsia="宋体"/>
          <w:sz w:val="24"/>
          <w:szCs w:val="18"/>
          <w:u w:val="single"/>
        </w:rPr>
        <w:t>66689592</w:t>
      </w:r>
      <w:r>
        <w:rPr>
          <w:rFonts w:ascii="宋体" w:hAnsi="宋体" w:eastAsia="宋体"/>
          <w:sz w:val="24"/>
          <w:szCs w:val="18"/>
          <w:u w:val="single"/>
        </w:rPr>
        <w:t xml:space="preserve">     </w:t>
      </w: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4"/>
    </w:p>
    <w:p>
      <w:pPr>
        <w:spacing w:line="360" w:lineRule="auto"/>
        <w:jc w:val="center"/>
        <w:outlineLvl w:val="1"/>
        <w:rPr>
          <w:rFonts w:asciiTheme="minorEastAsia" w:hAnsiTheme="minorEastAsia" w:eastAsiaTheme="minorEastAsia"/>
          <w:b/>
          <w:sz w:val="24"/>
        </w:rPr>
      </w:pPr>
      <w:bookmarkStart w:id="35" w:name="_Toc11709"/>
      <w:bookmarkStart w:id="36" w:name="_Toc11383"/>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5"/>
      <w:bookmarkEnd w:id="36"/>
    </w:p>
    <w:p>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4"/>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755"/>
        <w:gridCol w:w="5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8"/>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lang w:val="en-US" w:eastAsia="zh-CN"/>
              </w:rPr>
              <w:t>序</w:t>
            </w:r>
            <w:r>
              <w:rPr>
                <w:rFonts w:hint="eastAsia" w:ascii="宋体" w:hAnsi="宋体" w:eastAsia="宋体"/>
                <w:bCs w:val="0"/>
                <w:color w:val="auto"/>
                <w:kern w:val="2"/>
                <w:sz w:val="24"/>
                <w:szCs w:val="20"/>
                <w:highlight w:val="none"/>
              </w:rPr>
              <w:t>号</w:t>
            </w:r>
          </w:p>
        </w:tc>
        <w:tc>
          <w:tcPr>
            <w:tcW w:w="2756" w:type="dxa"/>
            <w:vAlign w:val="center"/>
          </w:tcPr>
          <w:p>
            <w:pPr>
              <w:pStyle w:val="18"/>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831" w:type="dxa"/>
            <w:vAlign w:val="center"/>
          </w:tcPr>
          <w:p>
            <w:pPr>
              <w:pStyle w:val="18"/>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5831" w:type="dxa"/>
            <w:vAlign w:val="center"/>
          </w:tcPr>
          <w:p>
            <w:pPr>
              <w:spacing w:line="360" w:lineRule="auto"/>
              <w:rPr>
                <w:rFonts w:ascii="宋体" w:hAnsi="宋体" w:eastAsia="宋体" w:cs="@仿宋_GB2312"/>
                <w:b w:val="0"/>
                <w:bCs/>
                <w:color w:val="auto"/>
                <w:kern w:val="0"/>
                <w:sz w:val="24"/>
                <w:szCs w:val="28"/>
                <w:highlight w:val="none"/>
                <w:lang w:val="en-US" w:eastAsia="zh-CN" w:bidi="ar-SA"/>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4</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5831" w:type="dxa"/>
            <w:vAlign w:val="center"/>
          </w:tcPr>
          <w:p>
            <w:pPr>
              <w:pStyle w:val="18"/>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磋商现场拆封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7</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8</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5831" w:type="dxa"/>
            <w:vAlign w:val="center"/>
          </w:tcPr>
          <w:p>
            <w:pPr>
              <w:pStyle w:val="1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以上</w:t>
            </w:r>
          </w:p>
          <w:p>
            <w:pPr>
              <w:pStyle w:val="1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采购人委托磋商小组确定成交供应商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5831" w:type="dxa"/>
            <w:vAlign w:val="center"/>
          </w:tcPr>
          <w:p>
            <w:pPr>
              <w:pStyle w:val="1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5831" w:type="dxa"/>
            <w:vAlign w:val="center"/>
          </w:tcPr>
          <w:p>
            <w:pPr>
              <w:pStyle w:val="1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2756" w:type="dxa"/>
            <w:vAlign w:val="top"/>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831" w:type="dxa"/>
            <w:vAlign w:val="top"/>
          </w:tcPr>
          <w:p>
            <w:pPr>
              <w:spacing w:line="360" w:lineRule="auto"/>
              <w:jc w:val="both"/>
              <w:rPr>
                <w:rFonts w:ascii="宋体" w:hAnsi="宋体" w:eastAsia="宋体" w:cs="@仿宋_GB2312"/>
                <w:b/>
                <w:bCs/>
                <w:color w:val="auto"/>
                <w:kern w:val="0"/>
                <w:sz w:val="24"/>
                <w:szCs w:val="28"/>
                <w:highlight w:val="none"/>
                <w:lang w:val="en-US" w:eastAsia="zh-CN" w:bidi="ar-SA"/>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12</w:t>
            </w:r>
          </w:p>
        </w:tc>
        <w:tc>
          <w:tcPr>
            <w:tcW w:w="2756" w:type="dxa"/>
            <w:vAlign w:val="center"/>
          </w:tcPr>
          <w:p>
            <w:pPr>
              <w:pStyle w:val="1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5831" w:type="dxa"/>
            <w:vAlign w:val="center"/>
          </w:tcPr>
          <w:p>
            <w:pPr>
              <w:pStyle w:val="1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采购人与成交供应商应当自发出成交通知书之日起10个工作日内签订合同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pPr>
              <w:pStyle w:val="18"/>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r>
              <w:rPr>
                <w:rFonts w:hint="eastAsia" w:ascii="宋体" w:hAnsi="宋体" w:eastAsia="宋体"/>
                <w:b w:val="0"/>
                <w:sz w:val="24"/>
                <w:u w:val="single"/>
                <w:lang w:val="en-US" w:eastAsia="zh-CN"/>
              </w:rPr>
              <w:t xml:space="preserve"> </w:t>
            </w:r>
            <w:r>
              <w:rPr>
                <w:rFonts w:hint="eastAsia" w:ascii="宋体" w:hAnsi="宋体" w:eastAsia="宋体"/>
                <w:b w:val="0"/>
                <w:sz w:val="24"/>
                <w:u w:val="single"/>
              </w:rPr>
              <w:t xml:space="preserve">  </w:t>
            </w:r>
          </w:p>
          <w:p>
            <w:pPr>
              <w:pStyle w:val="18"/>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0551-</w:t>
            </w:r>
            <w:r>
              <w:rPr>
                <w:rFonts w:hint="eastAsia" w:ascii="宋体" w:hAnsi="宋体" w:eastAsia="宋体"/>
                <w:b w:val="0"/>
                <w:sz w:val="24"/>
                <w:u w:val="single"/>
              </w:rPr>
              <w:t xml:space="preserve">66671097      </w:t>
            </w:r>
          </w:p>
          <w:p>
            <w:pPr>
              <w:pStyle w:val="1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sz w:val="24"/>
              </w:rPr>
              <w:t>通讯地址：</w:t>
            </w:r>
            <w:r>
              <w:rPr>
                <w:rFonts w:hint="eastAsia" w:ascii="宋体" w:hAnsi="宋体" w:eastAsia="宋体"/>
                <w:b w:val="0"/>
                <w:sz w:val="24"/>
                <w:u w:val="single"/>
              </w:rPr>
              <w:t xml:space="preserve">长丰县水湖镇长寿路91号长丰县人民医院  </w:t>
            </w:r>
          </w:p>
        </w:tc>
      </w:tr>
    </w:tbl>
    <w:p>
      <w:pPr>
        <w:pStyle w:val="2"/>
        <w:rPr>
          <w:rFonts w:hint="eastAsia"/>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pPr>
        <w:spacing w:line="360" w:lineRule="auto"/>
        <w:ind w:firstLine="480" w:firstLineChars="200"/>
        <w:outlineLvl w:val="2"/>
        <w:rPr>
          <w:rFonts w:hint="eastAsia" w:ascii="宋体" w:hAnsi="宋体" w:eastAsia="宋体"/>
          <w:sz w:val="24"/>
          <w:lang w:eastAsia="zh-CN"/>
        </w:rPr>
      </w:pPr>
      <w:r>
        <w:rPr>
          <w:rFonts w:hint="eastAsia" w:ascii="宋体" w:hAnsi="宋体" w:eastAsia="宋体"/>
          <w:sz w:val="24"/>
        </w:rPr>
        <w:t>不论磋商的结果如何，供应商应承担其所有与准备和参加磋商有关的费用</w:t>
      </w:r>
      <w:r>
        <w:rPr>
          <w:rFonts w:hint="eastAsia" w:ascii="宋体" w:hAnsi="宋体" w:eastAsia="宋体"/>
          <w:sz w:val="24"/>
          <w:lang w:eastAsia="zh-CN"/>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pPr>
        <w:spacing w:line="360" w:lineRule="auto"/>
        <w:ind w:firstLine="435"/>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.1磋商文件包括下列内容：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服务。</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w:t>
      </w:r>
      <w:r>
        <w:rPr>
          <w:rFonts w:asciiTheme="minorEastAsia" w:hAnsiTheme="minorEastAsia" w:eastAsiaTheme="minorEastAsia"/>
          <w:b w:val="0"/>
          <w:bCs w:val="0"/>
          <w:sz w:val="24"/>
        </w:rPr>
        <w:t>的</w:t>
      </w:r>
      <w:r>
        <w:rPr>
          <w:rFonts w:hint="eastAsia" w:asciiTheme="minorEastAsia" w:hAnsiTheme="minorEastAsia" w:eastAsiaTheme="minorEastAsia"/>
          <w:b w:val="0"/>
          <w:bCs w:val="0"/>
          <w:sz w:val="24"/>
          <w:lang w:val="en-US" w:eastAsia="zh-CN"/>
        </w:rPr>
        <w:t>项目预算</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left="479" w:leftChars="228" w:firstLine="16" w:firstLineChars="7"/>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w:t>
      </w:r>
      <w:r>
        <w:rPr>
          <w:rFonts w:hint="eastAsia" w:asciiTheme="minorEastAsia" w:hAnsiTheme="minorEastAsia" w:eastAsiaTheme="minorEastAsia"/>
          <w:sz w:val="24"/>
          <w:lang w:val="en-US" w:eastAsia="zh-CN"/>
        </w:rPr>
        <w:t>解密。</w:t>
      </w:r>
    </w:p>
    <w:p>
      <w:pPr>
        <w:spacing w:line="360" w:lineRule="auto"/>
        <w:ind w:firstLine="480" w:firstLineChars="200"/>
        <w:rPr>
          <w:rFonts w:ascii="宋体" w:hAnsi="宋体" w:eastAsia="宋体"/>
          <w:sz w:val="24"/>
        </w:rPr>
      </w:pPr>
      <w:r>
        <w:rPr>
          <w:rFonts w:hint="eastAsia" w:asciiTheme="minorEastAsia" w:hAnsiTheme="minorEastAsia" w:eastAsiaTheme="minorEastAsia"/>
          <w:sz w:val="24"/>
          <w:lang w:val="en-US" w:eastAsia="zh-CN"/>
        </w:rPr>
        <w:t>6.2</w:t>
      </w:r>
      <w:r>
        <w:rPr>
          <w:rFonts w:hint="eastAsia" w:asciiTheme="minorEastAsia" w:hAnsiTheme="minorEastAsia" w:eastAsiaTheme="minorEastAsia"/>
          <w:sz w:val="24"/>
        </w:rPr>
        <w:t>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pPr>
        <w:spacing w:line="360" w:lineRule="auto"/>
        <w:ind w:firstLine="435"/>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7</w:t>
      </w:r>
      <w:r>
        <w:rPr>
          <w:rFonts w:asciiTheme="minorEastAsia" w:hAnsiTheme="minorEastAsia" w:eastAsiaTheme="minorEastAsia"/>
          <w:sz w:val="24"/>
        </w:rPr>
        <w:t>.1本项目将依法组建磋商小组，磋商小组成员由</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r>
        <w:rPr>
          <w:rFonts w:hint="eastAsia" w:asciiTheme="minorEastAsia" w:hAnsiTheme="minorEastAsia" w:eastAsiaTheme="minorEastAsia"/>
          <w:sz w:val="24"/>
          <w:lang w:eastAsia="zh-CN"/>
        </w:rPr>
        <w:t>，</w:t>
      </w:r>
      <w:r>
        <w:rPr>
          <w:rFonts w:asciiTheme="minorEastAsia" w:hAnsiTheme="minorEastAsia" w:eastAsiaTheme="minorEastAsia"/>
          <w:color w:val="auto"/>
          <w:sz w:val="24"/>
          <w:highlight w:val="none"/>
        </w:rPr>
        <w:t>磋商小组及其成员应当依照采购的有关规定履行相关职责和义务</w:t>
      </w:r>
      <w:r>
        <w:rPr>
          <w:rFonts w:hint="eastAsia" w:asciiTheme="minorEastAsia" w:hAnsiTheme="minorEastAsia" w:eastAsiaTheme="minorEastAsia"/>
          <w:color w:val="auto"/>
          <w:sz w:val="24"/>
          <w:highlight w:val="none"/>
          <w:lang w:eastAsia="zh-CN"/>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.响应文件的评审与磋商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.2竞争性磋商活动采用综合评分法评审。</w:t>
      </w:r>
    </w:p>
    <w:p>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8.3如供应商被</w:t>
      </w:r>
      <w:r>
        <w:rPr>
          <w:rFonts w:hint="eastAsia" w:ascii="宋体" w:hAnsi="宋体" w:eastAsia="宋体" w:cs="宋体"/>
          <w:sz w:val="24"/>
          <w:szCs w:val="24"/>
        </w:rPr>
        <w:t>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3"/>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8.4磋商</w:t>
      </w:r>
      <w:r>
        <w:rPr>
          <w:rFonts w:hint="eastAsia" w:asciiTheme="minorEastAsia" w:hAnsiTheme="minorEastAsia" w:eastAsiaTheme="minorEastAsia"/>
          <w:sz w:val="24"/>
        </w:rPr>
        <w:t>小组只对通过初审</w:t>
      </w:r>
      <w:r>
        <w:rPr>
          <w:rFonts w:hint="eastAsia" w:asciiTheme="minorEastAsia" w:hAnsiTheme="minorEastAsia"/>
          <w:sz w:val="24"/>
          <w:lang w:val="en-US" w:eastAsia="zh-CN"/>
        </w:rPr>
        <w:t>的供应商</w:t>
      </w:r>
      <w:r>
        <w:rPr>
          <w:rFonts w:hint="eastAsia" w:asciiTheme="minorEastAsia" w:hAnsiTheme="minorEastAsia" w:eastAsiaTheme="minorEastAsia"/>
          <w:sz w:val="24"/>
        </w:rPr>
        <w:t>，</w:t>
      </w:r>
      <w:r>
        <w:rPr>
          <w:rFonts w:hint="eastAsia" w:ascii="宋体" w:hAnsi="宋体" w:eastAsia="宋体" w:cs="宋体"/>
          <w:kern w:val="2"/>
          <w:sz w:val="24"/>
          <w:szCs w:val="24"/>
          <w:lang w:val="en-US" w:eastAsia="zh-CN" w:bidi="ar-SA"/>
        </w:rPr>
        <w:t>要求其提交最后报价。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8.5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.终止竞争性磋商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出现下列情况之一时，采购人和采购代理机构有权宣布终止竞争性磋商采购，并将理由通知所有供应商：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hint="eastAsia" w:asciiTheme="minorEastAsia" w:hAnsiTheme="minorEastAsia" w:eastAsiaTheme="minorEastAsia"/>
          <w:sz w:val="24"/>
          <w:lang w:eastAsia="zh-CN"/>
        </w:rPr>
      </w:pPr>
      <w:r>
        <w:rPr>
          <w:rFonts w:hint="eastAsia" w:asciiTheme="minorEastAsia" w:hAnsiTheme="minorEastAsia" w:eastAsiaTheme="minorEastAsia"/>
          <w:sz w:val="24"/>
        </w:rPr>
        <w:t>（3）因重大变故，采购任务取消的</w:t>
      </w:r>
      <w:r>
        <w:rPr>
          <w:rFonts w:hint="eastAsia" w:asciiTheme="minorEastAsia" w:hAnsiTheme="minorEastAsia" w:eastAsiaTheme="minorEastAsia"/>
          <w:sz w:val="24"/>
          <w:lang w:eastAsia="zh-CN"/>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0</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pPr>
        <w:spacing w:line="360" w:lineRule="auto"/>
        <w:ind w:firstLine="435"/>
        <w:rPr>
          <w:rFonts w:asciiTheme="minorEastAsia" w:hAnsiTheme="minorEastAsia" w:eastAsiaTheme="minorEastAsia"/>
          <w:b w:val="0"/>
          <w:bCs w:val="0"/>
          <w:sz w:val="24"/>
        </w:rPr>
      </w:pPr>
      <w:r>
        <w:rPr>
          <w:rFonts w:hint="eastAsia" w:asciiTheme="minorEastAsia" w:hAnsiTheme="minorEastAsia" w:eastAsiaTheme="minorEastAsia"/>
          <w:b w:val="0"/>
          <w:bCs w:val="0"/>
          <w:sz w:val="24"/>
        </w:rPr>
        <w:t>1</w:t>
      </w:r>
      <w:r>
        <w:rPr>
          <w:rFonts w:hint="eastAsia" w:asciiTheme="minorEastAsia" w:hAnsiTheme="minorEastAsia" w:eastAsiaTheme="minorEastAsia"/>
          <w:b w:val="0"/>
          <w:bCs w:val="0"/>
          <w:sz w:val="24"/>
          <w:lang w:val="en-US" w:eastAsia="zh-CN"/>
        </w:rPr>
        <w:t>0</w:t>
      </w:r>
      <w:r>
        <w:rPr>
          <w:rFonts w:hint="eastAsia" w:asciiTheme="minorEastAsia" w:hAnsiTheme="minorEastAsia" w:eastAsiaTheme="minorEastAsia"/>
          <w:b w:val="0"/>
          <w:bCs w:val="0"/>
          <w:sz w:val="24"/>
        </w:rPr>
        <w:t>.2</w:t>
      </w:r>
      <w:r>
        <w:rPr>
          <w:rFonts w:asciiTheme="minorEastAsia" w:hAnsiTheme="minorEastAsia" w:eastAsiaTheme="minorEastAsia"/>
          <w:b w:val="0"/>
          <w:bCs w:val="0"/>
          <w:sz w:val="24"/>
        </w:rPr>
        <w:t>在磋商内容不做实质性变更或重大调整的前提下，供应商下轮报价不得高于上一轮报价</w:t>
      </w:r>
      <w:r>
        <w:rPr>
          <w:rFonts w:hint="eastAsia" w:asciiTheme="minorEastAsia" w:hAnsiTheme="minorEastAsia" w:eastAsiaTheme="minorEastAsia"/>
          <w:b w:val="0"/>
          <w:bCs w:val="0"/>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rPr>
        <w:t>磋商小组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w:t>
      </w: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highlight w:val="none"/>
        </w:rPr>
        <w:t>综合总得分出现两家或两家以上相同者，按最后报价由低到高排序推荐成交候选供应商；综合总得分且最后报价均相同的，由磋商小组</w:t>
      </w:r>
      <w:r>
        <w:rPr>
          <w:rFonts w:hint="eastAsia" w:asciiTheme="minorEastAsia" w:hAnsiTheme="minorEastAsia" w:eastAsiaTheme="minorEastAsia"/>
          <w:color w:val="auto"/>
          <w:sz w:val="24"/>
        </w:rPr>
        <w:t>现场抽签决定排序</w:t>
      </w:r>
      <w:r>
        <w:rPr>
          <w:rFonts w:hint="eastAsia" w:asciiTheme="minorEastAsia" w:hAnsiTheme="minorEastAsia" w:eastAsiaTheme="minorEastAsia"/>
          <w:color w:val="auto"/>
          <w:sz w:val="24"/>
          <w:highlight w:val="none"/>
        </w:rPr>
        <w:t>。</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pPr>
        <w:spacing w:line="360" w:lineRule="auto"/>
        <w:ind w:firstLine="435"/>
        <w:rPr>
          <w:rFonts w:hint="eastAsia" w:asciiTheme="minorEastAsia" w:hAnsiTheme="minorEastAsia" w:eastAsiaTheme="minorEastAsia"/>
          <w:color w:val="auto"/>
          <w:sz w:val="24"/>
          <w:lang w:eastAsia="zh-CN"/>
        </w:rPr>
      </w:pPr>
      <w:r>
        <w:rPr>
          <w:rFonts w:hint="eastAsia" w:ascii="宋体" w:hAnsi="宋体" w:eastAsia="宋体"/>
          <w:color w:val="auto"/>
          <w:sz w:val="24"/>
          <w:highlight w:val="none"/>
        </w:rPr>
        <w:t>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13</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lang w:val="en-US" w:eastAsia="zh-CN"/>
        </w:rPr>
        <w:t>14</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lang w:val="en-US" w:eastAsia="zh-CN"/>
        </w:rPr>
        <w:t>14</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color w:val="auto"/>
          <w:sz w:val="24"/>
        </w:rPr>
      </w:pPr>
      <w:r>
        <w:rPr>
          <w:rFonts w:asciiTheme="minorEastAsia" w:hAnsiTheme="minorEastAsia" w:eastAsiaTheme="minorEastAsia"/>
          <w:color w:val="auto"/>
          <w:sz w:val="24"/>
        </w:rPr>
        <w:t>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16</w:t>
      </w:r>
      <w:r>
        <w:rPr>
          <w:rFonts w:ascii="宋体" w:hAnsi="宋体" w:eastAsia="宋体"/>
          <w:b/>
          <w:color w:val="auto"/>
          <w:sz w:val="24"/>
        </w:rPr>
        <w:t>.成交</w:t>
      </w:r>
      <w:r>
        <w:rPr>
          <w:rFonts w:asciiTheme="minorEastAsia" w:hAnsiTheme="minorEastAsia" w:eastAsiaTheme="minorEastAsia"/>
          <w:b/>
          <w:color w:val="auto"/>
          <w:sz w:val="24"/>
        </w:rPr>
        <w:t>通知书</w:t>
      </w:r>
    </w:p>
    <w:p>
      <w:pPr>
        <w:spacing w:line="360" w:lineRule="auto"/>
        <w:ind w:firstLine="435"/>
        <w:rPr>
          <w:rFonts w:ascii="宋体" w:hAnsi="宋体" w:eastAsia="宋体"/>
          <w:color w:val="auto"/>
          <w:sz w:val="24"/>
        </w:rPr>
      </w:pPr>
      <w:r>
        <w:rPr>
          <w:rFonts w:ascii="宋体" w:hAnsi="宋体" w:eastAsia="宋体"/>
          <w:color w:val="auto"/>
          <w:sz w:val="24"/>
        </w:rPr>
        <w:t>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lang w:val="en-US" w:eastAsia="zh-CN"/>
        </w:rPr>
        <w:t>书面</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17</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pPr>
        <w:pStyle w:val="18"/>
        <w:widowControl w:val="0"/>
        <w:spacing w:before="0" w:beforeAutospacing="0" w:after="0" w:afterAutospacing="0" w:line="360" w:lineRule="auto"/>
        <w:ind w:firstLine="480" w:firstLineChars="200"/>
        <w:jc w:val="both"/>
        <w:rPr>
          <w:rFonts w:hint="eastAsia" w:ascii="宋体" w:hAnsi="宋体" w:eastAsia="宋体" w:cs="宋体"/>
          <w:b w:val="0"/>
          <w:sz w:val="24"/>
          <w:szCs w:val="24"/>
          <w:lang w:val="en-US" w:eastAsia="zh-CN"/>
        </w:rPr>
      </w:pPr>
      <w:r>
        <w:rPr>
          <w:rFonts w:hint="eastAsia" w:ascii="宋体" w:hAnsi="宋体" w:eastAsia="宋体" w:cs="宋体"/>
          <w:b w:val="0"/>
          <w:sz w:val="24"/>
          <w:szCs w:val="24"/>
        </w:rPr>
        <w:t>供应商自行登录采购公告发布网站</w:t>
      </w:r>
      <w:r>
        <w:rPr>
          <w:rFonts w:hint="eastAsia" w:ascii="宋体" w:hAnsi="宋体" w:eastAsia="宋体" w:cs="宋体"/>
          <w:b w:val="0"/>
          <w:sz w:val="24"/>
          <w:szCs w:val="24"/>
          <w:highlight w:val="none"/>
        </w:rPr>
        <w:t>查看</w:t>
      </w:r>
      <w:r>
        <w:rPr>
          <w:rFonts w:hint="eastAsia" w:ascii="宋体" w:hAnsi="宋体" w:eastAsia="宋体" w:cs="宋体"/>
          <w:b w:val="0"/>
          <w:sz w:val="24"/>
          <w:szCs w:val="24"/>
          <w:highlight w:val="none"/>
          <w:lang w:eastAsia="zh-CN"/>
        </w:rPr>
        <w:t>。</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lang w:val="en-US" w:eastAsia="zh-CN"/>
        </w:rPr>
        <w:t>18</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18</w:t>
      </w:r>
      <w:r>
        <w:rPr>
          <w:rFonts w:ascii="宋体" w:hAnsi="宋体" w:eastAsia="宋体"/>
          <w:color w:val="auto"/>
          <w:sz w:val="24"/>
        </w:rPr>
        <w:t>.2磋商文件、成交供应商的响应文件及其澄清文件等，均为签订合同的依据。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olor w:val="auto"/>
          <w:sz w:val="24"/>
          <w:lang w:val="en-US" w:eastAsia="zh-CN"/>
        </w:rPr>
        <w:t>18</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成交供应商拒绝签订采购合同的不得参加对该项目重新开展的采购活动。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lang w:val="en-US" w:eastAsia="zh-CN"/>
        </w:rPr>
        <w:t>20</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lang w:val="en-US" w:eastAsia="zh-CN"/>
        </w:rPr>
        <w:t>20</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lang w:val="en-US" w:eastAsia="zh-CN"/>
        </w:rPr>
        <w:t>20</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ind w:firstLine="437"/>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37" w:name="_Toc19440"/>
      <w:r>
        <w:rPr>
          <w:rFonts w:hint="eastAsia" w:asciiTheme="minorEastAsia" w:hAnsiTheme="minorEastAsia" w:eastAsiaTheme="minorEastAsia"/>
          <w:b/>
          <w:sz w:val="28"/>
        </w:rPr>
        <w:t>第三章  采购需求</w:t>
      </w:r>
      <w:bookmarkEnd w:id="37"/>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pPr>
        <w:spacing w:line="360" w:lineRule="auto"/>
        <w:ind w:firstLine="435"/>
        <w:rPr>
          <w:rFonts w:hint="eastAsia" w:ascii="宋体" w:hAnsi="宋体" w:eastAsia="宋体" w:cs="宋体"/>
          <w:color w:val="auto"/>
          <w:sz w:val="24"/>
          <w:szCs w:val="24"/>
          <w:highlight w:val="none"/>
        </w:rPr>
      </w:pPr>
      <w:bookmarkStart w:id="38" w:name="_Toc7699"/>
      <w:bookmarkStart w:id="39" w:name="_Toc26349"/>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sz w:val="24"/>
          <w:szCs w:val="24"/>
          <w:highlight w:val="none"/>
        </w:rPr>
        <w:t>（包括但不限于下列具体政策要求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82" w:firstLineChars="200"/>
        <w:outlineLvl w:val="1"/>
        <w:rPr>
          <w:rFonts w:ascii="宋体" w:hAnsi="宋体" w:eastAsia="宋体"/>
          <w:b/>
          <w:sz w:val="24"/>
          <w:szCs w:val="18"/>
        </w:rPr>
      </w:pPr>
      <w:r>
        <w:rPr>
          <w:rFonts w:hint="eastAsia" w:ascii="宋体" w:hAnsi="宋体" w:eastAsia="宋体"/>
          <w:b/>
          <w:sz w:val="24"/>
          <w:szCs w:val="18"/>
        </w:rPr>
        <w:t>一、采购需求前附表</w:t>
      </w:r>
      <w:bookmarkEnd w:id="38"/>
      <w:bookmarkEnd w:id="39"/>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747"/>
        <w:gridCol w:w="5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25" w:type="pct"/>
            <w:vAlign w:val="center"/>
          </w:tcPr>
          <w:p>
            <w:pPr>
              <w:pStyle w:val="1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4" w:type="pct"/>
            <w:vAlign w:val="center"/>
          </w:tcPr>
          <w:p>
            <w:pPr>
              <w:pStyle w:val="1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25" w:type="pct"/>
            <w:vAlign w:val="center"/>
          </w:tcPr>
          <w:p>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384" w:type="pct"/>
            <w:vAlign w:val="center"/>
          </w:tcPr>
          <w:p>
            <w:pPr>
              <w:pStyle w:val="18"/>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cs="宋体"/>
                <w:b w:val="0"/>
                <w:bCs w:val="0"/>
                <w:color w:val="auto"/>
                <w:kern w:val="2"/>
                <w:sz w:val="24"/>
                <w:szCs w:val="24"/>
                <w:u w:val="single"/>
                <w:lang w:val="en-US" w:eastAsia="zh-CN" w:bidi="ar-SA"/>
              </w:rPr>
              <w:t>合同签订至项目完成且经院方验收完毕正常使用后支付维修费用的95%，余款5%作为质保金，质保期满后一次性无息付清。供应商付款前提供合同、正规票据及验收单等材料。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25" w:type="pct"/>
            <w:vAlign w:val="center"/>
          </w:tcPr>
          <w:p>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384" w:type="pct"/>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长丰县</w:t>
            </w:r>
            <w:r>
              <w:rPr>
                <w:rFonts w:hint="eastAsia" w:ascii="宋体" w:hAnsi="宋体" w:eastAsia="宋体"/>
                <w:b w:val="0"/>
                <w:color w:val="auto"/>
                <w:sz w:val="24"/>
                <w:highlight w:val="none"/>
                <w:u w:val="single"/>
                <w:lang w:val="en-US" w:eastAsia="zh-CN"/>
              </w:rPr>
              <w:t>人民医院</w:t>
            </w:r>
            <w:r>
              <w:rPr>
                <w:rFonts w:hint="eastAsia" w:ascii="宋体" w:hAnsi="宋体" w:eastAsia="宋体"/>
                <w:b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25" w:type="pct"/>
            <w:vAlign w:val="center"/>
          </w:tcPr>
          <w:p>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合同履行</w:t>
            </w:r>
            <w:r>
              <w:rPr>
                <w:rFonts w:hint="eastAsia" w:ascii="宋体" w:hAnsi="宋体" w:eastAsia="宋体"/>
                <w:b w:val="0"/>
                <w:color w:val="auto"/>
                <w:sz w:val="24"/>
                <w:highlight w:val="none"/>
              </w:rPr>
              <w:t>期限</w:t>
            </w:r>
          </w:p>
        </w:tc>
        <w:tc>
          <w:tcPr>
            <w:tcW w:w="3384" w:type="pct"/>
            <w:vAlign w:val="center"/>
          </w:tcPr>
          <w:p>
            <w:pPr>
              <w:spacing w:line="360" w:lineRule="auto"/>
              <w:rPr>
                <w:rFonts w:hint="eastAsia" w:ascii="宋体" w:hAnsi="宋体" w:eastAsia="宋体"/>
                <w:color w:val="auto"/>
                <w:sz w:val="24"/>
                <w:szCs w:val="18"/>
              </w:rPr>
            </w:pPr>
            <w:r>
              <w:rPr>
                <w:rFonts w:hint="eastAsia" w:ascii="宋体" w:hAnsi="宋体" w:eastAsia="宋体" w:cs="宋体"/>
                <w:color w:val="auto"/>
                <w:sz w:val="24"/>
                <w:szCs w:val="24"/>
                <w:u w:val="single"/>
                <w:lang w:val="en-US" w:eastAsia="zh-CN"/>
              </w:rPr>
              <w:t>合同签订后</w:t>
            </w:r>
            <w:r>
              <w:rPr>
                <w:rFonts w:hint="eastAsia" w:ascii="宋体" w:hAnsi="宋体" w:eastAsia="宋体"/>
                <w:color w:val="auto"/>
                <w:sz w:val="24"/>
                <w:u w:val="single"/>
                <w:lang w:val="en-US" w:eastAsia="zh-CN"/>
              </w:rPr>
              <w:t>7天内完成，空压管道对接质保2年。</w:t>
            </w:r>
          </w:p>
        </w:tc>
      </w:tr>
    </w:tbl>
    <w:p>
      <w:pPr>
        <w:numPr>
          <w:ilvl w:val="0"/>
          <w:numId w:val="2"/>
        </w:numPr>
        <w:spacing w:line="360" w:lineRule="auto"/>
        <w:ind w:firstLine="437"/>
        <w:rPr>
          <w:rFonts w:hint="eastAsia" w:ascii="宋体" w:hAnsi="宋体" w:eastAsia="宋体"/>
          <w:b/>
          <w:sz w:val="24"/>
          <w:szCs w:val="18"/>
        </w:rPr>
      </w:pPr>
      <w:bookmarkStart w:id="40" w:name="_Toc25144"/>
      <w:bookmarkStart w:id="41" w:name="_Toc23116"/>
      <w:r>
        <w:rPr>
          <w:rFonts w:hint="eastAsia" w:ascii="宋体" w:hAnsi="宋体" w:eastAsia="宋体"/>
          <w:b/>
          <w:sz w:val="24"/>
          <w:szCs w:val="18"/>
        </w:rPr>
        <w:t>项目概况</w:t>
      </w:r>
      <w:bookmarkEnd w:id="40"/>
      <w:bookmarkEnd w:id="41"/>
      <w:bookmarkStart w:id="42" w:name="OLE_LINK1"/>
    </w:p>
    <w:bookmarkEnd w:id="42"/>
    <w:p>
      <w:pPr>
        <w:numPr>
          <w:ilvl w:val="0"/>
          <w:numId w:val="0"/>
        </w:numPr>
        <w:spacing w:line="360" w:lineRule="auto"/>
        <w:ind w:firstLine="480" w:firstLineChars="200"/>
        <w:outlineLvl w:val="1"/>
        <w:rPr>
          <w:rFonts w:hint="eastAsia" w:ascii="宋体" w:hAnsi="宋体" w:eastAsia="宋体"/>
          <w:b/>
          <w:sz w:val="24"/>
          <w:szCs w:val="18"/>
          <w:highlight w:val="none"/>
          <w:u w:val="none"/>
          <w:lang w:val="en-US" w:eastAsia="zh-CN"/>
        </w:rPr>
      </w:pPr>
      <w:r>
        <w:rPr>
          <w:rFonts w:hint="eastAsia" w:ascii="宋体" w:hAnsi="宋体" w:eastAsia="宋体" w:cs="宋体"/>
          <w:sz w:val="24"/>
          <w:szCs w:val="24"/>
          <w:highlight w:val="none"/>
          <w:u w:val="none"/>
          <w:lang w:val="en-US" w:eastAsia="zh-CN"/>
        </w:rPr>
        <w:t>本</w:t>
      </w:r>
      <w:r>
        <w:rPr>
          <w:rFonts w:hint="eastAsia" w:ascii="宋体" w:hAnsi="宋体" w:eastAsia="宋体" w:cs="宋体"/>
          <w:color w:val="auto"/>
          <w:sz w:val="24"/>
          <w:szCs w:val="24"/>
          <w:highlight w:val="none"/>
          <w:u w:val="none"/>
          <w:lang w:val="en-US" w:eastAsia="zh-CN"/>
        </w:rPr>
        <w:t>项目拟</w:t>
      </w:r>
      <w:r>
        <w:rPr>
          <w:rFonts w:hint="eastAsia" w:ascii="宋体" w:hAnsi="宋体" w:eastAsia="宋体"/>
          <w:sz w:val="24"/>
          <w:highlight w:val="none"/>
          <w:u w:val="none"/>
          <w:lang w:val="en-US" w:eastAsia="zh-CN"/>
        </w:rPr>
        <w:t>采购一家供应商</w:t>
      </w:r>
      <w:r>
        <w:rPr>
          <w:rFonts w:hint="eastAsia" w:ascii="宋体" w:hAnsi="宋体" w:eastAsia="宋体" w:cs="宋体"/>
          <w:sz w:val="24"/>
          <w:szCs w:val="24"/>
          <w:highlight w:val="none"/>
          <w:u w:val="none"/>
          <w:lang w:val="en-US" w:eastAsia="zh-CN"/>
        </w:rPr>
        <w:t>，为长丰县人民医院提供拆除老液氧站及空压管道对接服务。</w:t>
      </w:r>
    </w:p>
    <w:p>
      <w:pPr>
        <w:keepNext w:val="0"/>
        <w:keepLines w:val="0"/>
        <w:pageBreakBefore w:val="0"/>
        <w:numPr>
          <w:ilvl w:val="0"/>
          <w:numId w:val="0"/>
        </w:numPr>
        <w:kinsoku/>
        <w:wordWrap/>
        <w:overflowPunct/>
        <w:topLinePunct w:val="0"/>
        <w:bidi w:val="0"/>
        <w:adjustRightInd/>
        <w:spacing w:line="240" w:lineRule="auto"/>
        <w:ind w:firstLine="482" w:firstLineChars="200"/>
        <w:contextualSpacing/>
        <w:textAlignment w:val="auto"/>
        <w:rPr>
          <w:rFonts w:hint="eastAsia" w:ascii="宋体" w:hAnsi="宋体" w:eastAsia="宋体"/>
          <w:b/>
          <w:sz w:val="24"/>
          <w:szCs w:val="18"/>
          <w:lang w:val="en-US" w:eastAsia="zh-CN"/>
        </w:rPr>
      </w:pPr>
      <w:r>
        <w:rPr>
          <w:rFonts w:hint="eastAsia" w:ascii="宋体" w:hAnsi="宋体" w:eastAsia="宋体"/>
          <w:b/>
          <w:sz w:val="24"/>
          <w:szCs w:val="18"/>
          <w:lang w:val="en-US" w:eastAsia="zh-CN"/>
        </w:rPr>
        <w:t>三、服务需求</w:t>
      </w:r>
    </w:p>
    <w:tbl>
      <w:tblPr>
        <w:tblStyle w:val="23"/>
        <w:tblW w:w="5042"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635"/>
        <w:gridCol w:w="6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951" w:type="pct"/>
            <w:vAlign w:val="center"/>
          </w:tcPr>
          <w:p>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543" w:type="pct"/>
            <w:vAlign w:val="center"/>
          </w:tcPr>
          <w:p>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51"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人员到岗及履约要求</w:t>
            </w:r>
          </w:p>
        </w:tc>
        <w:tc>
          <w:tcPr>
            <w:tcW w:w="3543" w:type="pct"/>
            <w:vAlign w:val="center"/>
          </w:tcPr>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接到医院通知后7天内完成项目，施工人员须具备《中华人民共和国特种设备安全管理和作业人员证》、《中华人民共和国特种作业操作证》等相关操作项目需要的证件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51"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材料要求</w:t>
            </w:r>
          </w:p>
        </w:tc>
        <w:tc>
          <w:tcPr>
            <w:tcW w:w="3543"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1.1 一般规定</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1.1.1 管道组成件及管道支承件在安装前必须进行检验，其产品必须具有制造厂的质量证明书，并应按设计要求核对其规格、型号、材质，并进行外观检查。管道组成件表面应无裂纹、缩孔、夹渣、折迭、重皮等缺陷，表面不得有超过壁厚负偏差的锈蚀和凹陷。螺纹密封面应良好，精度及光洁度达到设计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1.1.2 钢管的质量证明书上应注明：</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a) 供货方名称或印记；</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b) 标准号；</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c) 钢的牌号；</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d) 炉罐号、批号、交货状态；</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e) 品种名称、规格及质量等级；</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f) 产品标准中所规定的各项检验结果；</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g) 技术监督部门印记。</w:t>
            </w:r>
          </w:p>
          <w:p>
            <w:pPr>
              <w:spacing w:line="360" w:lineRule="auto"/>
              <w:rPr>
                <w:rFonts w:hint="eastAsia" w:ascii="宋体" w:hAnsi="宋体" w:eastAsia="宋体" w:cs="宋体"/>
                <w:sz w:val="24"/>
                <w:szCs w:val="24"/>
              </w:rPr>
            </w:pPr>
            <w:r>
              <w:rPr>
                <w:rFonts w:hint="eastAsia" w:ascii="宋体" w:hAnsi="宋体" w:eastAsia="宋体" w:cs="宋体"/>
                <w:sz w:val="24"/>
                <w:szCs w:val="24"/>
              </w:rPr>
              <w:t>1.1.3各种材料都需具有出厂合格证。其质量应符合相应的管材及管件标准。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1.1.4管道、管件的内外表面不得有裂纹、折皱、发纹和结疤等缺陷，若有这些缺陷应完全清除掉，清除后的壁厚和外径不得超过允许的负偏差值。</w:t>
            </w:r>
          </w:p>
          <w:p>
            <w:pPr>
              <w:spacing w:line="360" w:lineRule="auto"/>
              <w:rPr>
                <w:rFonts w:hint="eastAsia" w:ascii="宋体" w:hAnsi="宋体" w:eastAsia="宋体" w:cs="宋体"/>
                <w:sz w:val="24"/>
                <w:szCs w:val="24"/>
              </w:rPr>
            </w:pPr>
            <w:r>
              <w:rPr>
                <w:rFonts w:hint="eastAsia" w:ascii="宋体" w:hAnsi="宋体" w:eastAsia="宋体" w:cs="宋体"/>
                <w:sz w:val="24"/>
                <w:szCs w:val="24"/>
              </w:rPr>
              <w:t>1.1.5管道和管件运输中应防止过大的振动和撞击。不得与金属材料或其它物质混放，并防止遭受日晒和冷冻而变形。管材及管件应放在温度5℃-40℃的室内，避免阳光和热源的辐射，更不能与潮湿物件和油脂等接触。</w:t>
            </w:r>
          </w:p>
          <w:p>
            <w:pPr>
              <w:spacing w:line="360" w:lineRule="auto"/>
              <w:rPr>
                <w:rFonts w:hint="eastAsia" w:ascii="宋体" w:hAnsi="宋体" w:eastAsia="宋体" w:cs="宋体"/>
                <w:sz w:val="24"/>
                <w:szCs w:val="24"/>
              </w:rPr>
            </w:pPr>
            <w:r>
              <w:rPr>
                <w:rFonts w:hint="eastAsia" w:ascii="宋体" w:hAnsi="宋体" w:eastAsia="宋体" w:cs="宋体"/>
                <w:sz w:val="24"/>
                <w:szCs w:val="24"/>
              </w:rPr>
              <w:t>1.2  阀门的检验</w:t>
            </w:r>
          </w:p>
          <w:p>
            <w:pPr>
              <w:spacing w:line="360" w:lineRule="auto"/>
              <w:rPr>
                <w:rFonts w:hint="eastAsia" w:ascii="宋体" w:hAnsi="宋体" w:eastAsia="宋体" w:cs="宋体"/>
                <w:sz w:val="24"/>
                <w:szCs w:val="24"/>
              </w:rPr>
            </w:pPr>
            <w:r>
              <w:rPr>
                <w:rFonts w:hint="eastAsia" w:ascii="宋体" w:hAnsi="宋体" w:eastAsia="宋体" w:cs="宋体"/>
                <w:sz w:val="24"/>
                <w:szCs w:val="24"/>
              </w:rPr>
              <w:t>1.2.1 低压阀门应从每批(同制造厂、同规格、同型号、同时到货)中抽查10％，且不得少于1个，进行壳体压力试验和密封试验。当有不合格时，应加倍抽查，如仍有不合格者，则该批阀门不得使用。中压及有毒、剧毒及甲、乙类火灾危险物质的阀门应逐个进行壳体压力和密封试验。</w:t>
            </w:r>
          </w:p>
          <w:p>
            <w:pPr>
              <w:spacing w:line="360" w:lineRule="auto"/>
              <w:rPr>
                <w:rFonts w:hint="eastAsia" w:ascii="宋体" w:hAnsi="宋体" w:eastAsia="宋体" w:cs="宋体"/>
                <w:sz w:val="24"/>
                <w:szCs w:val="24"/>
              </w:rPr>
            </w:pPr>
            <w:r>
              <w:rPr>
                <w:rFonts w:hint="eastAsia" w:ascii="宋体" w:hAnsi="宋体" w:eastAsia="宋体" w:cs="宋体"/>
                <w:sz w:val="24"/>
                <w:szCs w:val="24"/>
              </w:rPr>
              <w:t>1.2.2 试验介质需采用</w:t>
            </w:r>
            <w:r>
              <w:rPr>
                <w:rFonts w:hint="eastAsia" w:ascii="宋体" w:hAnsi="宋体" w:eastAsia="宋体" w:cs="宋体"/>
                <w:sz w:val="24"/>
                <w:szCs w:val="24"/>
                <w:lang w:val="en-US" w:eastAsia="zh-CN"/>
              </w:rPr>
              <w:t>氮气</w:t>
            </w:r>
            <w:r>
              <w:rPr>
                <w:rFonts w:hint="eastAsia" w:ascii="宋体" w:hAnsi="宋体" w:eastAsia="宋体" w:cs="宋体"/>
                <w:sz w:val="24"/>
                <w:szCs w:val="24"/>
                <w:lang w:eastAsia="zh-CN"/>
              </w:rPr>
              <w:t>。</w:t>
            </w:r>
            <w:r>
              <w:rPr>
                <w:rFonts w:hint="eastAsia" w:ascii="宋体" w:hAnsi="宋体" w:eastAsia="宋体" w:cs="宋体"/>
                <w:sz w:val="24"/>
                <w:szCs w:val="24"/>
              </w:rPr>
              <w:t>当有特殊要求时，试验介质必须符合设计文件规定。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1.2.3 试验压力及时间</w:t>
            </w:r>
          </w:p>
          <w:p>
            <w:pPr>
              <w:spacing w:line="360" w:lineRule="auto"/>
              <w:rPr>
                <w:rFonts w:hint="eastAsia" w:ascii="宋体" w:hAnsi="宋体" w:eastAsia="宋体" w:cs="宋体"/>
                <w:sz w:val="24"/>
                <w:szCs w:val="24"/>
              </w:rPr>
            </w:pPr>
            <w:r>
              <w:rPr>
                <w:rFonts w:hint="eastAsia" w:ascii="宋体" w:hAnsi="宋体" w:eastAsia="宋体" w:cs="宋体"/>
                <w:sz w:val="24"/>
                <w:szCs w:val="24"/>
              </w:rPr>
              <w:t>1.2.3.1 阀门的强度试验压力应为公称压力的1.5倍，试验时间不得少于5min，以壳体、填料无渗漏为合格。</w:t>
            </w:r>
          </w:p>
          <w:p>
            <w:pPr>
              <w:spacing w:line="360" w:lineRule="auto"/>
              <w:rPr>
                <w:rFonts w:hint="eastAsia" w:ascii="宋体" w:hAnsi="宋体" w:eastAsia="宋体" w:cs="宋体"/>
                <w:sz w:val="24"/>
                <w:szCs w:val="24"/>
              </w:rPr>
            </w:pPr>
            <w:r>
              <w:rPr>
                <w:rFonts w:hint="eastAsia" w:ascii="宋体" w:hAnsi="宋体" w:eastAsia="宋体" w:cs="宋体"/>
                <w:sz w:val="24"/>
                <w:szCs w:val="24"/>
              </w:rPr>
              <w:t>1.2.3.2 阀门的密封试验以公称压力进行，以阀瓣密封面不渗漏为合格。</w:t>
            </w:r>
          </w:p>
          <w:p>
            <w:pPr>
              <w:spacing w:line="360" w:lineRule="auto"/>
              <w:rPr>
                <w:rFonts w:hint="eastAsia" w:ascii="宋体" w:hAnsi="宋体" w:eastAsia="宋体" w:cs="宋体"/>
                <w:sz w:val="24"/>
                <w:szCs w:val="24"/>
              </w:rPr>
            </w:pPr>
            <w:r>
              <w:rPr>
                <w:rFonts w:hint="eastAsia" w:ascii="宋体" w:hAnsi="宋体" w:eastAsia="宋体" w:cs="宋体"/>
                <w:sz w:val="24"/>
                <w:szCs w:val="24"/>
              </w:rPr>
              <w:t>1.2.4 以焊接方式与管道连接的阀门的密封试验应在安装前进行。壳体强度试验宜在安装前进行，也可在系统试验时一起进行。</w:t>
            </w:r>
          </w:p>
          <w:p>
            <w:pPr>
              <w:spacing w:line="360" w:lineRule="auto"/>
              <w:rPr>
                <w:rFonts w:hint="eastAsia" w:ascii="宋体" w:hAnsi="宋体" w:eastAsia="宋体" w:cs="宋体"/>
                <w:sz w:val="24"/>
                <w:szCs w:val="24"/>
              </w:rPr>
            </w:pPr>
            <w:r>
              <w:rPr>
                <w:rFonts w:hint="eastAsia" w:ascii="宋体" w:hAnsi="宋体" w:eastAsia="宋体" w:cs="宋体"/>
                <w:sz w:val="24"/>
                <w:szCs w:val="24"/>
              </w:rPr>
              <w:t>1.2.5 公称压力小于1MPa，且公称直径大于或等于600mm的闸阀，壳体压力试验宜在系统试压时，按管道系统的试验压力进行试验。闸板密封试验可采用色印等方法进行检验，接合面上色印应连续。</w:t>
            </w:r>
          </w:p>
          <w:p>
            <w:pPr>
              <w:spacing w:line="360" w:lineRule="auto"/>
              <w:rPr>
                <w:rFonts w:hint="eastAsia" w:ascii="宋体" w:hAnsi="宋体" w:eastAsia="宋体" w:cs="宋体"/>
                <w:sz w:val="24"/>
                <w:szCs w:val="24"/>
              </w:rPr>
            </w:pPr>
            <w:r>
              <w:rPr>
                <w:rFonts w:hint="eastAsia" w:ascii="宋体" w:hAnsi="宋体" w:eastAsia="宋体" w:cs="宋体"/>
                <w:sz w:val="24"/>
                <w:szCs w:val="24"/>
              </w:rPr>
              <w:t>1.2.6 密封试验不合格的阀门，必须解体检验，并重新试验。</w:t>
            </w:r>
          </w:p>
          <w:p>
            <w:pPr>
              <w:spacing w:line="360" w:lineRule="auto"/>
              <w:rPr>
                <w:rFonts w:hint="eastAsia" w:ascii="宋体" w:hAnsi="宋体" w:eastAsia="宋体" w:cs="宋体"/>
                <w:sz w:val="24"/>
                <w:szCs w:val="24"/>
              </w:rPr>
            </w:pPr>
            <w:r>
              <w:rPr>
                <w:rFonts w:hint="eastAsia" w:ascii="宋体" w:hAnsi="宋体" w:eastAsia="宋体" w:cs="宋体"/>
                <w:sz w:val="24"/>
                <w:szCs w:val="24"/>
              </w:rPr>
              <w:t>1.2.7 对阀门的传动装置和操作机构应进行清洗检验，更换油脂，并检查其动作是否灵活可靠。</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1.2.8 试验合格的阀门，应及时排尽内部积水。密封面应涂防锈油，（需脱脂的阀门除外），关闭阀门，封闭出入口，及时填写《阀门试验记录》，并按规定对阀门试验状态进行标识。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51"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工程施工重点难点</w:t>
            </w:r>
          </w:p>
        </w:tc>
        <w:tc>
          <w:tcPr>
            <w:tcW w:w="3543" w:type="pct"/>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液氧站、负压站设备及管道拆除、拆卸、切割、人工、叉车、车辆运输；2.包含不锈钢无缝管、阀门、弯头、地面开槽、埋管、套管、试压、回填路面等辅材。3.拆除的液氧罐、负压罐、排污管等吊装至医院指定位置，附属设备包装后存放医院指定位置。</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2.空压站房老空气管道预留位置引出管道加装不锈钢阀门，对接到新大楼空压管路系统，完成管道密封焊接并按照</w:t>
            </w:r>
            <w:r>
              <w:rPr>
                <w:rFonts w:hint="eastAsia" w:ascii="宋体" w:hAnsi="宋体" w:eastAsia="宋体" w:cs="宋体"/>
                <w:sz w:val="24"/>
                <w:szCs w:val="24"/>
              </w:rPr>
              <w:t>《</w:t>
            </w:r>
            <w:r>
              <w:rPr>
                <w:rFonts w:hint="eastAsia" w:ascii="宋体" w:hAnsi="宋体" w:eastAsia="宋体" w:cs="宋体"/>
                <w:sz w:val="24"/>
                <w:szCs w:val="24"/>
                <w:lang w:val="en-US" w:eastAsia="zh-CN"/>
              </w:rPr>
              <w:t>医用气体工程技术规范</w:t>
            </w:r>
            <w:r>
              <w:rPr>
                <w:rFonts w:hint="eastAsia" w:ascii="宋体" w:hAnsi="宋体" w:eastAsia="宋体" w:cs="宋体"/>
                <w:sz w:val="24"/>
                <w:szCs w:val="24"/>
              </w:rPr>
              <w:t>》</w:t>
            </w:r>
            <w:r>
              <w:rPr>
                <w:rFonts w:hint="eastAsia" w:ascii="宋体" w:hAnsi="宋体" w:eastAsia="宋体" w:cs="宋体"/>
                <w:sz w:val="24"/>
                <w:szCs w:val="24"/>
                <w:lang w:val="en-US" w:eastAsia="zh-CN"/>
              </w:rPr>
              <w:t>GB 50751-2012、</w:t>
            </w:r>
            <w:r>
              <w:rPr>
                <w:rFonts w:hint="eastAsia" w:ascii="宋体" w:hAnsi="宋体" w:eastAsia="宋体" w:cs="宋体"/>
                <w:sz w:val="24"/>
                <w:szCs w:val="24"/>
              </w:rPr>
              <w:t>《现场设备、工业管道焊接工程施工规范》GB50236-2011</w:t>
            </w:r>
            <w:r>
              <w:rPr>
                <w:rFonts w:hint="eastAsia" w:ascii="宋体" w:hAnsi="宋体" w:eastAsia="宋体" w:cs="宋体"/>
                <w:sz w:val="24"/>
                <w:szCs w:val="24"/>
                <w:lang w:eastAsia="zh-CN"/>
              </w:rPr>
              <w:t>、</w:t>
            </w:r>
            <w:r>
              <w:rPr>
                <w:rFonts w:hint="eastAsia" w:ascii="宋体" w:hAnsi="宋体" w:eastAsia="宋体" w:cs="宋体"/>
                <w:sz w:val="24"/>
                <w:szCs w:val="24"/>
              </w:rPr>
              <w:t>《现场设备、工业管道焊接工程施工质量验收规范》 GB50683-2011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对改造管道进行压力测试和气封性试验。完成对接后对原有空气管路系统进行吹扫清洁，保证管道内部无杂质残留。</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3.对过路管道施工按</w:t>
            </w:r>
            <w:r>
              <w:rPr>
                <w:rFonts w:hint="eastAsia" w:ascii="宋体" w:hAnsi="宋体" w:eastAsia="宋体" w:cs="宋体"/>
                <w:sz w:val="24"/>
                <w:szCs w:val="24"/>
              </w:rPr>
              <w:t>《</w:t>
            </w:r>
            <w:r>
              <w:rPr>
                <w:rFonts w:hint="eastAsia" w:ascii="宋体" w:hAnsi="宋体" w:eastAsia="宋体" w:cs="宋体"/>
                <w:sz w:val="24"/>
                <w:szCs w:val="24"/>
                <w:lang w:val="en-US" w:eastAsia="zh-CN"/>
              </w:rPr>
              <w:t>医用气体工程技术规范</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GB 50751-2012、</w:t>
            </w:r>
            <w:r>
              <w:rPr>
                <w:rFonts w:hint="eastAsia" w:ascii="宋体" w:hAnsi="宋体" w:eastAsia="宋体" w:cs="宋体"/>
                <w:sz w:val="24"/>
                <w:szCs w:val="24"/>
              </w:rPr>
              <w:t>《现场设备、工业管道焊接工程施工规范》GB50236-2011</w:t>
            </w:r>
            <w:r>
              <w:rPr>
                <w:rFonts w:hint="eastAsia" w:ascii="宋体" w:hAnsi="宋体" w:eastAsia="宋体" w:cs="宋体"/>
                <w:sz w:val="24"/>
                <w:szCs w:val="24"/>
                <w:lang w:eastAsia="zh-CN"/>
              </w:rPr>
              <w:t>、</w:t>
            </w:r>
            <w:r>
              <w:rPr>
                <w:rFonts w:hint="eastAsia" w:ascii="宋体" w:hAnsi="宋体" w:eastAsia="宋体" w:cs="宋体"/>
                <w:sz w:val="24"/>
                <w:szCs w:val="24"/>
              </w:rPr>
              <w:t xml:space="preserve">《建筑设计防火规范》GB50016-2014 </w:t>
            </w:r>
            <w:r>
              <w:rPr>
                <w:rFonts w:hint="eastAsia" w:ascii="宋体" w:hAnsi="宋体" w:eastAsia="宋体" w:cs="宋体"/>
                <w:sz w:val="24"/>
                <w:szCs w:val="24"/>
                <w:lang w:val="en-US" w:eastAsia="zh-CN"/>
              </w:rPr>
              <w:t>设计施工，地基基础做出分析评价，推荐合理的地基基础和地基处理方案。施工流程包含：地面开挖、破碎、高标号密度混凝土浇筑、养护及表面平整处理，确保基础承载力满足设备安装要求。</w:t>
            </w:r>
          </w:p>
        </w:tc>
      </w:tr>
    </w:tbl>
    <w:p>
      <w:pPr>
        <w:spacing w:line="360" w:lineRule="auto"/>
        <w:ind w:firstLine="435"/>
        <w:rPr>
          <w:rFonts w:hint="eastAsia" w:ascii="宋体" w:hAnsi="宋体" w:eastAsia="宋体"/>
          <w:sz w:val="24"/>
          <w:lang w:val="en-US" w:eastAsia="zh-CN"/>
        </w:rPr>
      </w:pPr>
    </w:p>
    <w:p>
      <w:pPr>
        <w:keepNext w:val="0"/>
        <w:keepLines w:val="0"/>
        <w:pageBreakBefore w:val="0"/>
        <w:numPr>
          <w:ilvl w:val="0"/>
          <w:numId w:val="0"/>
        </w:numPr>
        <w:kinsoku/>
        <w:wordWrap/>
        <w:overflowPunct/>
        <w:topLinePunct w:val="0"/>
        <w:bidi w:val="0"/>
        <w:adjustRightInd/>
        <w:spacing w:line="240" w:lineRule="auto"/>
        <w:ind w:firstLine="482" w:firstLineChars="200"/>
        <w:contextualSpacing/>
        <w:textAlignment w:val="auto"/>
        <w:rPr>
          <w:rFonts w:hint="eastAsia" w:ascii="宋体" w:hAnsi="宋体" w:eastAsia="宋体"/>
          <w:b/>
          <w:sz w:val="24"/>
          <w:szCs w:val="18"/>
          <w:lang w:val="en-US" w:eastAsia="zh-CN"/>
        </w:rPr>
      </w:pPr>
      <w:bookmarkStart w:id="43" w:name="_Toc8668"/>
      <w:r>
        <w:rPr>
          <w:rFonts w:hint="eastAsia" w:ascii="宋体" w:hAnsi="宋体" w:eastAsia="宋体"/>
          <w:b/>
          <w:sz w:val="24"/>
          <w:szCs w:val="18"/>
          <w:lang w:val="en-US" w:eastAsia="zh-CN"/>
        </w:rPr>
        <w:t>四、报价要求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本项目按总价报价。报价包含但不限于液氧站、负压站设备及管道拆除、拆卸、切割、人工、叉车、车辆运输及空压管道对接服务所产生的一切费用，报价不得高于最高限价，</w:t>
      </w:r>
      <w:r>
        <w:rPr>
          <w:rFonts w:hint="eastAsia" w:ascii="宋体" w:hAnsi="宋体" w:eastAsia="宋体" w:cs="宋体"/>
          <w:b/>
          <w:bCs/>
          <w:sz w:val="24"/>
          <w:szCs w:val="24"/>
          <w:lang w:val="en-US" w:eastAsia="zh-CN"/>
        </w:rPr>
        <w:t>否则响应无效</w:t>
      </w:r>
      <w:r>
        <w:rPr>
          <w:rFonts w:hint="eastAsia" w:ascii="宋体" w:hAnsi="宋体" w:eastAsia="宋体" w:cs="宋体"/>
          <w:sz w:val="24"/>
          <w:szCs w:val="24"/>
          <w:lang w:val="en-US" w:eastAsia="zh-CN"/>
        </w:rPr>
        <w:t>。</w:t>
      </w:r>
    </w:p>
    <w:p>
      <w:pPr>
        <w:keepNext w:val="0"/>
        <w:keepLines w:val="0"/>
        <w:widowControl/>
        <w:numPr>
          <w:ilvl w:val="0"/>
          <w:numId w:val="1"/>
        </w:numPr>
        <w:suppressLineNumbers w:val="0"/>
        <w:ind w:left="0" w:leftChars="0" w:firstLine="482" w:firstLineChars="200"/>
        <w:jc w:val="left"/>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其他要求</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供应商应遵守拆除安全生产有关管理规定，严格按安全标准组织实施，并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随时接受行业安全检查人员依法实施的监督检查，采取必要的安全防护措施，涉及动火作业的，严格按照相关规定办理，消除事故隐患。由于供应商安全措施不力造成事故的责任和因此发生的费用，由供应商承担。</w:t>
      </w:r>
    </w:p>
    <w:p>
      <w:pPr>
        <w:spacing w:line="360" w:lineRule="auto"/>
        <w:rPr>
          <w:rFonts w:hint="default" w:ascii="宋体" w:hAnsi="宋体" w:eastAsia="宋体" w:cs="宋体"/>
          <w:color w:val="auto"/>
          <w:sz w:val="24"/>
          <w:szCs w:val="24"/>
          <w:lang w:val="en-US" w:eastAsia="zh-CN"/>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3"/>
    </w:p>
    <w:p>
      <w:pPr>
        <w:spacing w:line="360" w:lineRule="auto"/>
        <w:ind w:firstLine="437"/>
        <w:outlineLvl w:val="1"/>
        <w:rPr>
          <w:rFonts w:asciiTheme="minorEastAsia" w:hAnsiTheme="minorEastAsia" w:eastAsiaTheme="minorEastAsia"/>
          <w:b/>
          <w:sz w:val="24"/>
        </w:rPr>
      </w:pPr>
      <w:bookmarkStart w:id="44" w:name="_Toc12199"/>
      <w:bookmarkStart w:id="45" w:name="_Toc21211"/>
      <w:r>
        <w:rPr>
          <w:rFonts w:hint="eastAsia" w:asciiTheme="minorEastAsia" w:hAnsiTheme="minorEastAsia" w:eastAsiaTheme="minorEastAsia"/>
          <w:b/>
          <w:sz w:val="24"/>
        </w:rPr>
        <w:t>一、总则</w:t>
      </w:r>
      <w:bookmarkEnd w:id="44"/>
      <w:bookmarkEnd w:id="45"/>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bookmarkStart w:id="46" w:name="_Toc13039"/>
      <w:bookmarkStart w:id="47" w:name="_Toc16885"/>
      <w:r>
        <w:rPr>
          <w:rFonts w:hint="eastAsia" w:asciiTheme="minorEastAsia" w:hAnsiTheme="minorEastAsia" w:eastAsiaTheme="minorEastAsia"/>
          <w:b/>
          <w:sz w:val="24"/>
        </w:rPr>
        <w:t>二、评审方法</w:t>
      </w:r>
      <w:bookmarkEnd w:id="46"/>
      <w:bookmarkEnd w:id="47"/>
    </w:p>
    <w:p>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14"/>
        <w:tblW w:w="5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039"/>
        <w:gridCol w:w="3734"/>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b/>
                <w:color w:val="auto"/>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序号</w:t>
            </w:r>
          </w:p>
        </w:tc>
        <w:tc>
          <w:tcPr>
            <w:tcW w:w="1032" w:type="pct"/>
            <w:tcBorders>
              <w:bottom w:val="single" w:color="auto" w:sz="4" w:space="0"/>
            </w:tcBorders>
            <w:vAlign w:val="center"/>
          </w:tcPr>
          <w:p>
            <w:pPr>
              <w:pStyle w:val="19"/>
              <w:pBdr>
                <w:bottom w:val="none" w:color="auto" w:sz="0" w:space="0"/>
              </w:pBdr>
              <w:tabs>
                <w:tab w:val="clear" w:pos="4153"/>
                <w:tab w:val="clear" w:pos="8306"/>
              </w:tabs>
              <w:snapToGrid w:val="0"/>
              <w:spacing w:line="360" w:lineRule="auto"/>
              <w:ind w:right="-10"/>
              <w:jc w:val="center"/>
              <w:textAlignment w:val="auto"/>
              <w:rPr>
                <w:rFonts w:ascii="宋体" w:hAnsi="宋体" w:eastAsia="宋体"/>
                <w:color w:val="auto"/>
                <w:kern w:val="2"/>
                <w:szCs w:val="24"/>
              </w:rPr>
            </w:pPr>
            <w:r>
              <w:rPr>
                <w:rFonts w:hint="eastAsia" w:ascii="宋体" w:hAnsi="宋体" w:eastAsia="宋体"/>
                <w:color w:val="auto"/>
                <w:kern w:val="2"/>
                <w:szCs w:val="24"/>
              </w:rPr>
              <w:t>审查指标</w:t>
            </w:r>
          </w:p>
        </w:tc>
        <w:tc>
          <w:tcPr>
            <w:tcW w:w="1890"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审查标准</w:t>
            </w:r>
          </w:p>
        </w:tc>
        <w:tc>
          <w:tcPr>
            <w:tcW w:w="1686"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1</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ascii="宋体" w:hAnsi="宋体" w:eastAsia="宋体" w:cs="宋体"/>
                <w:color w:val="auto"/>
                <w:spacing w:val="9"/>
                <w:sz w:val="24"/>
                <w:szCs w:val="24"/>
              </w:rPr>
              <w:t>营业执照等证明</w:t>
            </w:r>
            <w:r>
              <w:rPr>
                <w:rFonts w:ascii="宋体" w:hAnsi="宋体" w:eastAsia="宋体" w:cs="宋体"/>
                <w:color w:val="auto"/>
                <w:spacing w:val="-3"/>
                <w:sz w:val="24"/>
                <w:szCs w:val="24"/>
              </w:rPr>
              <w:t>文件</w:t>
            </w:r>
          </w:p>
        </w:tc>
        <w:tc>
          <w:tcPr>
            <w:tcW w:w="1890" w:type="pct"/>
            <w:tcBorders>
              <w:bottom w:val="single" w:color="auto" w:sz="4" w:space="0"/>
            </w:tcBorders>
            <w:vAlign w:val="center"/>
          </w:tcPr>
          <w:p>
            <w:pPr>
              <w:spacing w:after="50" w:line="360" w:lineRule="auto"/>
              <w:ind w:right="-10"/>
              <w:jc w:val="both"/>
              <w:rPr>
                <w:rFonts w:ascii="宋体" w:hAnsi="宋体" w:eastAsia="宋体"/>
                <w:color w:val="auto"/>
                <w:sz w:val="24"/>
                <w:szCs w:val="28"/>
              </w:rPr>
            </w:pPr>
            <w:r>
              <w:rPr>
                <w:rFonts w:hint="eastAsia" w:ascii="宋体" w:hAnsi="宋体" w:eastAsia="宋体"/>
                <w:color w:val="auto"/>
                <w:sz w:val="24"/>
                <w:szCs w:val="28"/>
                <w:lang w:val="en-US" w:eastAsia="zh-CN"/>
              </w:rPr>
              <w:t>合法有效的证明文件</w:t>
            </w:r>
          </w:p>
        </w:tc>
        <w:tc>
          <w:tcPr>
            <w:tcW w:w="1686" w:type="pct"/>
            <w:vAlign w:val="center"/>
          </w:tcPr>
          <w:p>
            <w:pPr>
              <w:spacing w:line="360" w:lineRule="auto"/>
              <w:jc w:val="both"/>
              <w:rPr>
                <w:rFonts w:ascii="宋体" w:hAnsi="宋体" w:eastAsia="宋体"/>
                <w:color w:val="auto"/>
                <w:sz w:val="24"/>
              </w:rPr>
            </w:pPr>
            <w:r>
              <w:rPr>
                <w:rFonts w:hint="eastAsia" w:ascii="宋体" w:hAnsi="宋体" w:eastAsia="宋体" w:cs="宋体"/>
                <w:color w:val="auto"/>
                <w:sz w:val="24"/>
                <w:szCs w:val="24"/>
              </w:rPr>
              <w:t>提供材料扫描件或</w:t>
            </w:r>
            <w:r>
              <w:rPr>
                <w:rFonts w:hint="eastAsia" w:ascii="宋体" w:hAnsi="宋体" w:eastAsia="宋体" w:cs="宋体"/>
                <w:color w:val="auto"/>
                <w:sz w:val="24"/>
                <w:szCs w:val="24"/>
                <w:lang w:val="en-US" w:eastAsia="zh-CN"/>
              </w:rPr>
              <w:t>复印件并</w:t>
            </w:r>
            <w:r>
              <w:rPr>
                <w:rFonts w:hint="eastAsia" w:ascii="宋体" w:hAnsi="宋体" w:eastAsia="宋体" w:cs="宋体"/>
                <w:b/>
                <w:bCs/>
                <w:color w:val="auto"/>
                <w:sz w:val="24"/>
                <w:szCs w:val="24"/>
                <w:lang w:val="en-US" w:eastAsia="zh-CN"/>
              </w:rPr>
              <w:t>加盖</w:t>
            </w:r>
            <w:r>
              <w:rPr>
                <w:rFonts w:hint="eastAsia" w:asciiTheme="minorEastAsia" w:hAnsiTheme="minorEastAsia" w:eastAsiaTheme="minorEastAsia"/>
                <w:b/>
                <w:bCs/>
                <w:color w:val="auto"/>
                <w:sz w:val="24"/>
              </w:rPr>
              <w:t>供应商</w:t>
            </w:r>
            <w:r>
              <w:rPr>
                <w:rFonts w:hint="eastAsia" w:asciiTheme="minorEastAsia" w:hAnsiTheme="minorEastAsia" w:eastAsiaTheme="minorEastAsia"/>
                <w:b/>
                <w:bCs/>
                <w:color w:val="auto"/>
                <w:sz w:val="24"/>
                <w:lang w:val="en-US" w:eastAsia="zh-CN"/>
              </w:rPr>
              <w:t>公</w:t>
            </w:r>
            <w:r>
              <w:rPr>
                <w:rFonts w:hint="eastAsia" w:ascii="宋体" w:hAnsi="宋体" w:eastAsia="宋体" w:cs="宋体"/>
                <w:b/>
                <w:bCs/>
                <w:color w:val="auto"/>
                <w:sz w:val="24"/>
                <w:szCs w:val="24"/>
                <w:lang w:val="en-US" w:eastAsia="zh-CN"/>
              </w:rPr>
              <w:t>章</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2</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hint="eastAsia" w:ascii="宋体" w:hAnsi="宋体" w:eastAsia="宋体"/>
                <w:color w:val="auto"/>
                <w:sz w:val="24"/>
                <w:szCs w:val="18"/>
              </w:rPr>
              <w:t>供应商资格声明书</w:t>
            </w:r>
          </w:p>
        </w:tc>
        <w:tc>
          <w:tcPr>
            <w:tcW w:w="1890" w:type="pct"/>
            <w:tcBorders>
              <w:bottom w:val="single" w:color="auto" w:sz="4" w:space="0"/>
            </w:tcBorders>
            <w:vAlign w:val="center"/>
          </w:tcPr>
          <w:p>
            <w:pPr>
              <w:spacing w:after="50" w:line="360" w:lineRule="auto"/>
              <w:ind w:right="-10"/>
              <w:jc w:val="both"/>
              <w:rPr>
                <w:rFonts w:ascii="宋体" w:hAnsi="宋体" w:eastAsia="宋体"/>
                <w:color w:val="auto"/>
                <w:sz w:val="24"/>
                <w:szCs w:val="28"/>
              </w:rPr>
            </w:pPr>
            <w:r>
              <w:rPr>
                <w:rFonts w:hint="eastAsia" w:ascii="宋体" w:hAnsi="宋体" w:eastAsia="宋体" w:cs="宋体"/>
                <w:color w:val="auto"/>
                <w:sz w:val="24"/>
                <w:szCs w:val="24"/>
              </w:rPr>
              <w:t>提</w:t>
            </w:r>
            <w:r>
              <w:rPr>
                <w:rFonts w:ascii="宋体" w:hAnsi="宋体" w:eastAsia="宋体" w:cs="宋体"/>
                <w:color w:val="auto"/>
                <w:sz w:val="24"/>
                <w:szCs w:val="24"/>
              </w:rPr>
              <w:t>供符合</w:t>
            </w:r>
            <w:r>
              <w:rPr>
                <w:rFonts w:hint="eastAsia" w:ascii="宋体" w:hAnsi="宋体" w:eastAsia="宋体" w:cs="宋体"/>
                <w:color w:val="auto"/>
                <w:sz w:val="24"/>
                <w:szCs w:val="24"/>
              </w:rPr>
              <w:t>磋商</w:t>
            </w:r>
            <w:r>
              <w:rPr>
                <w:rFonts w:ascii="宋体" w:hAnsi="宋体" w:eastAsia="宋体" w:cs="宋体"/>
                <w:color w:val="auto"/>
                <w:sz w:val="24"/>
                <w:szCs w:val="24"/>
              </w:rPr>
              <w:t>文件要求的《</w:t>
            </w:r>
            <w:r>
              <w:rPr>
                <w:rFonts w:hint="eastAsia" w:ascii="宋体" w:hAnsi="宋体" w:eastAsia="宋体" w:cs="宋体"/>
                <w:color w:val="auto"/>
                <w:sz w:val="24"/>
                <w:szCs w:val="24"/>
              </w:rPr>
              <w:t>供应商</w:t>
            </w:r>
            <w:r>
              <w:rPr>
                <w:rFonts w:ascii="宋体" w:hAnsi="宋体" w:eastAsia="宋体" w:cs="宋体"/>
                <w:color w:val="auto"/>
                <w:sz w:val="24"/>
                <w:szCs w:val="24"/>
              </w:rPr>
              <w:t>资格声明书》</w:t>
            </w:r>
            <w:r>
              <w:rPr>
                <w:rFonts w:hint="eastAsia" w:ascii="宋体" w:hAnsi="宋体" w:eastAsia="宋体" w:cs="宋体"/>
                <w:color w:val="auto"/>
                <w:sz w:val="24"/>
                <w:szCs w:val="24"/>
              </w:rPr>
              <w:t>。</w:t>
            </w:r>
          </w:p>
        </w:tc>
        <w:tc>
          <w:tcPr>
            <w:tcW w:w="1686" w:type="pct"/>
            <w:vAlign w:val="center"/>
          </w:tcPr>
          <w:p>
            <w:pPr>
              <w:spacing w:line="360" w:lineRule="auto"/>
              <w:jc w:val="both"/>
              <w:rPr>
                <w:rFonts w:ascii="宋体" w:hAnsi="宋体" w:eastAsia="宋体" w:cs="宋体"/>
                <w:color w:val="auto"/>
                <w:sz w:val="24"/>
                <w:szCs w:val="24"/>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四</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3</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hint="eastAsia" w:ascii="宋体" w:hAnsi="宋体" w:eastAsia="宋体" w:cs="宋体"/>
                <w:color w:val="auto"/>
                <w:sz w:val="24"/>
                <w:szCs w:val="24"/>
                <w:lang w:val="en-US" w:eastAsia="zh-CN"/>
              </w:rPr>
              <w:t>无重大违法记录声明函、无不良信用记录声明函</w:t>
            </w:r>
          </w:p>
        </w:tc>
        <w:tc>
          <w:tcPr>
            <w:tcW w:w="1890" w:type="pct"/>
            <w:tcBorders>
              <w:bottom w:val="single" w:color="auto" w:sz="4" w:space="0"/>
            </w:tcBorders>
            <w:vAlign w:val="center"/>
          </w:tcPr>
          <w:p>
            <w:pPr>
              <w:spacing w:after="50" w:line="360" w:lineRule="auto"/>
              <w:ind w:right="-10"/>
              <w:jc w:val="both"/>
              <w:rPr>
                <w:color w:val="auto"/>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不得存在</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须知正文</w:t>
            </w:r>
            <w:r>
              <w:rPr>
                <w:rFonts w:hint="eastAsia" w:ascii="宋体" w:hAnsi="宋体" w:eastAsia="宋体" w:cs="宋体"/>
                <w:color w:val="auto"/>
                <w:sz w:val="24"/>
                <w:szCs w:val="24"/>
              </w:rPr>
              <w:t>中</w:t>
            </w:r>
            <w:r>
              <w:rPr>
                <w:rFonts w:hint="eastAsia" w:ascii="宋体" w:hAnsi="宋体" w:eastAsia="宋体"/>
                <w:color w:val="auto"/>
                <w:sz w:val="24"/>
                <w:szCs w:val="28"/>
              </w:rPr>
              <w:t>的</w:t>
            </w:r>
            <w:r>
              <w:rPr>
                <w:rFonts w:hint="eastAsia" w:ascii="宋体" w:hAnsi="宋体" w:eastAsia="宋体"/>
                <w:color w:val="auto"/>
                <w:sz w:val="24"/>
                <w:szCs w:val="18"/>
              </w:rPr>
              <w:t>不良信用记录情形</w:t>
            </w:r>
          </w:p>
        </w:tc>
        <w:tc>
          <w:tcPr>
            <w:tcW w:w="1686" w:type="pct"/>
            <w:tcBorders>
              <w:bottom w:val="single" w:color="auto" w:sz="4" w:space="0"/>
            </w:tcBorders>
            <w:vAlign w:val="center"/>
          </w:tcPr>
          <w:p>
            <w:pPr>
              <w:spacing w:line="360" w:lineRule="auto"/>
              <w:jc w:val="both"/>
              <w:rPr>
                <w:color w:val="auto"/>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八</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389" w:type="pct"/>
            <w:vAlign w:val="center"/>
          </w:tcPr>
          <w:p>
            <w:pPr>
              <w:adjustRightInd w:val="0"/>
              <w:snapToGrid w:val="0"/>
              <w:spacing w:line="360" w:lineRule="auto"/>
              <w:ind w:right="-1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1032" w:type="pct"/>
            <w:vAlign w:val="center"/>
          </w:tcPr>
          <w:p>
            <w:pPr>
              <w:spacing w:after="50" w:line="360" w:lineRule="auto"/>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磋商响应函</w:t>
            </w:r>
          </w:p>
        </w:tc>
        <w:tc>
          <w:tcPr>
            <w:tcW w:w="1890" w:type="pct"/>
            <w:vAlign w:val="center"/>
          </w:tcPr>
          <w:p>
            <w:pPr>
              <w:spacing w:after="50" w:line="360" w:lineRule="auto"/>
              <w:ind w:right="-10"/>
              <w:jc w:val="both"/>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格式、填写要求符合磋商文件规定并加盖供应商章</w:t>
            </w:r>
          </w:p>
        </w:tc>
        <w:tc>
          <w:tcPr>
            <w:tcW w:w="1686" w:type="pct"/>
            <w:vAlign w:val="center"/>
          </w:tcPr>
          <w:p>
            <w:pPr>
              <w:adjustRightInd w:val="0"/>
              <w:snapToGrid w:val="0"/>
              <w:spacing w:line="360" w:lineRule="auto"/>
              <w:ind w:right="-10"/>
              <w:jc w:val="both"/>
              <w:rPr>
                <w:rFonts w:asciiTheme="minorEastAsia" w:hAnsiTheme="minorEastAsia" w:eastAsiaTheme="minorEastAsia"/>
                <w:color w:val="auto"/>
                <w:sz w:val="24"/>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三</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5</w:t>
            </w:r>
          </w:p>
        </w:tc>
        <w:tc>
          <w:tcPr>
            <w:tcW w:w="1032" w:type="pct"/>
            <w:vAlign w:val="center"/>
          </w:tcPr>
          <w:p>
            <w:pPr>
              <w:spacing w:after="50" w:line="360" w:lineRule="auto"/>
              <w:ind w:right="-1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授权书</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格式、填写要求符合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文件规定并加盖</w:t>
            </w:r>
            <w:r>
              <w:rPr>
                <w:rFonts w:hint="eastAsia" w:asciiTheme="minorEastAsia" w:hAnsiTheme="minorEastAsia" w:eastAsiaTheme="minorEastAsia"/>
                <w:color w:val="auto"/>
                <w:sz w:val="24"/>
              </w:rPr>
              <w:t>供应商</w:t>
            </w:r>
            <w:r>
              <w:rPr>
                <w:rFonts w:hint="eastAsia" w:asciiTheme="minorEastAsia" w:hAnsiTheme="minorEastAsia" w:eastAsiaTheme="minorEastAsia"/>
                <w:color w:val="auto"/>
                <w:sz w:val="24"/>
                <w:szCs w:val="28"/>
              </w:rPr>
              <w:t>章</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法定代表人参加磋商的无需此件，提供身份证明即可。详见第六章响应文件格式</w:t>
            </w:r>
            <w:r>
              <w:rPr>
                <w:rFonts w:hint="eastAsia" w:asciiTheme="minorEastAsia" w:hAnsiTheme="minorEastAsia" w:eastAsiaTheme="minorEastAsia"/>
                <w:color w:val="auto"/>
                <w:sz w:val="24"/>
                <w:lang w:val="en-US" w:eastAsia="zh-CN"/>
              </w:rPr>
              <w:t>五</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6</w:t>
            </w:r>
          </w:p>
        </w:tc>
        <w:tc>
          <w:tcPr>
            <w:tcW w:w="1032" w:type="pct"/>
            <w:vAlign w:val="center"/>
          </w:tcPr>
          <w:p>
            <w:pPr>
              <w:spacing w:after="50" w:line="360" w:lineRule="auto"/>
              <w:ind w:right="-1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磋商报价</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rPr>
              <w:t>文件供应商须知正文第</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条要求</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一</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7</w:t>
            </w:r>
          </w:p>
        </w:tc>
        <w:tc>
          <w:tcPr>
            <w:tcW w:w="1032" w:type="pct"/>
            <w:vAlign w:val="center"/>
          </w:tcPr>
          <w:p>
            <w:pPr>
              <w:spacing w:after="50" w:line="360" w:lineRule="auto"/>
              <w:ind w:right="-10"/>
              <w:jc w:val="center"/>
              <w:rPr>
                <w:rFonts w:hint="eastAsia" w:ascii="宋体" w:hAnsi="宋体" w:cs="宋体" w:eastAsiaTheme="minorEastAsia"/>
                <w:color w:val="auto"/>
                <w:spacing w:val="10"/>
                <w:sz w:val="24"/>
                <w:szCs w:val="24"/>
                <w:lang w:val="en-US" w:eastAsia="zh-CN"/>
              </w:rPr>
            </w:pPr>
            <w:r>
              <w:rPr>
                <w:rFonts w:hint="eastAsia" w:asciiTheme="minorEastAsia" w:hAnsiTheme="minorEastAsia" w:eastAsiaTheme="minorEastAsia"/>
                <w:color w:val="auto"/>
                <w:sz w:val="24"/>
                <w:szCs w:val="28"/>
              </w:rPr>
              <w:t>商务响应</w:t>
            </w:r>
            <w:r>
              <w:rPr>
                <w:rFonts w:hint="eastAsia" w:asciiTheme="minorEastAsia" w:hAnsiTheme="minorEastAsia" w:eastAsiaTheme="minorEastAsia"/>
                <w:color w:val="auto"/>
                <w:sz w:val="24"/>
                <w:szCs w:val="28"/>
                <w:lang w:val="en-US" w:eastAsia="zh-CN"/>
              </w:rPr>
              <w:t>表</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文件采购需求中对付款方式、服务地点、服务期限的要求</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六</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8</w:t>
            </w:r>
          </w:p>
        </w:tc>
        <w:tc>
          <w:tcPr>
            <w:tcW w:w="1032" w:type="pct"/>
            <w:vAlign w:val="center"/>
          </w:tcPr>
          <w:p>
            <w:pPr>
              <w:spacing w:after="50" w:line="360" w:lineRule="auto"/>
              <w:ind w:right="-10" w:rightChars="0"/>
              <w:jc w:val="center"/>
              <w:rPr>
                <w:rFonts w:hint="eastAsia" w:ascii="宋体" w:hAnsi="宋体" w:cs="宋体" w:eastAsiaTheme="minorEastAsia"/>
                <w:color w:val="auto"/>
                <w:spacing w:val="10"/>
                <w:sz w:val="24"/>
                <w:szCs w:val="24"/>
                <w:lang w:val="en-US" w:eastAsia="zh-CN"/>
              </w:rPr>
            </w:pPr>
            <w:r>
              <w:rPr>
                <w:rFonts w:hint="eastAsia" w:ascii="宋体" w:hAnsi="宋体" w:cs="宋体" w:eastAsiaTheme="minorEastAsia"/>
                <w:color w:val="auto"/>
                <w:spacing w:val="10"/>
                <w:sz w:val="24"/>
                <w:szCs w:val="24"/>
                <w:lang w:val="en-US" w:eastAsia="zh-CN"/>
              </w:rPr>
              <w:t>供应商承诺</w:t>
            </w:r>
          </w:p>
        </w:tc>
        <w:tc>
          <w:tcPr>
            <w:tcW w:w="1890" w:type="pct"/>
            <w:vAlign w:val="center"/>
          </w:tcPr>
          <w:p>
            <w:pPr>
              <w:spacing w:after="50" w:line="360" w:lineRule="auto"/>
              <w:ind w:right="-10" w:rightChars="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文件采购需求中服务要求</w:t>
            </w:r>
          </w:p>
        </w:tc>
        <w:tc>
          <w:tcPr>
            <w:tcW w:w="1686" w:type="pct"/>
            <w:vAlign w:val="center"/>
          </w:tcPr>
          <w:p>
            <w:pPr>
              <w:adjustRightInd w:val="0"/>
              <w:snapToGrid w:val="0"/>
              <w:spacing w:line="360" w:lineRule="auto"/>
              <w:ind w:right="-10" w:rightChars="0"/>
              <w:jc w:val="center"/>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七</w:t>
            </w:r>
            <w:r>
              <w:rPr>
                <w:rFonts w:hint="eastAsia" w:asciiTheme="minorEastAsia" w:hAnsiTheme="minorEastAsia" w:eastAsiaTheme="minorEastAsia"/>
                <w:color w:val="auto"/>
                <w:sz w:val="24"/>
              </w:rPr>
              <w:t>。</w:t>
            </w:r>
          </w:p>
        </w:tc>
      </w:tr>
    </w:tbl>
    <w:p>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pPr>
        <w:spacing w:line="360" w:lineRule="auto"/>
        <w:ind w:firstLine="435"/>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w:t>
      </w:r>
      <w:r>
        <w:rPr>
          <w:rFonts w:hint="eastAsia" w:asciiTheme="minorEastAsia" w:hAnsiTheme="minorEastAsia" w:eastAsiaTheme="minorEastAsia"/>
          <w:color w:val="auto"/>
          <w:sz w:val="24"/>
          <w:highlight w:val="none"/>
        </w:rPr>
        <w:t>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8</w:t>
      </w:r>
      <w:r>
        <w:rPr>
          <w:rFonts w:hint="eastAsia" w:asciiTheme="minorEastAsia" w:hAnsiTheme="minorEastAsia" w:eastAsiaTheme="minorEastAsia"/>
          <w:color w:val="auto"/>
          <w:sz w:val="24"/>
          <w:highlight w:val="none"/>
          <w:u w:val="single"/>
        </w:rPr>
        <w:t>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w:t>
      </w:r>
      <w:r>
        <w:rPr>
          <w:rFonts w:hint="eastAsia" w:asciiTheme="minorEastAsia" w:hAnsiTheme="minorEastAsia" w:eastAsiaTheme="minorEastAsia"/>
          <w:color w:val="auto"/>
          <w:sz w:val="24"/>
          <w:highlight w:val="none"/>
          <w:u w:val="single"/>
        </w:rPr>
        <w:t>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asciiTheme="minorEastAsia" w:hAnsiTheme="minorEastAsia" w:eastAsiaTheme="minorEastAsia"/>
          <w:sz w:val="24"/>
          <w:highlight w:val="none"/>
        </w:rPr>
        <w:t>。具</w:t>
      </w:r>
      <w:r>
        <w:rPr>
          <w:rFonts w:asciiTheme="minorEastAsia" w:hAnsiTheme="minorEastAsia" w:eastAsiaTheme="minorEastAsia"/>
          <w:sz w:val="24"/>
        </w:rPr>
        <w:t>体评分细则如下：</w:t>
      </w:r>
    </w:p>
    <w:tbl>
      <w:tblPr>
        <w:tblStyle w:val="14"/>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02"/>
        <w:gridCol w:w="5498"/>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类别</w:t>
            </w: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评分内容</w:t>
            </w: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评分标准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jc w:val="center"/>
        </w:trPr>
        <w:tc>
          <w:tcPr>
            <w:tcW w:w="737" w:type="pct"/>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技术资信分</w:t>
            </w:r>
          </w:p>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8</w:t>
            </w:r>
            <w:r>
              <w:rPr>
                <w:rFonts w:hint="eastAsia" w:asciiTheme="minorEastAsia" w:hAnsiTheme="minorEastAsia" w:eastAsiaTheme="minorEastAsia"/>
                <w:color w:val="auto"/>
                <w:sz w:val="24"/>
                <w:u w:val="single"/>
              </w:rPr>
              <w:t xml:space="preserve">0 </w:t>
            </w:r>
            <w:r>
              <w:rPr>
                <w:rFonts w:hint="eastAsia" w:asciiTheme="minorEastAsia" w:hAnsiTheme="minorEastAsia" w:eastAsiaTheme="minorEastAsia"/>
                <w:color w:val="auto"/>
                <w:sz w:val="24"/>
              </w:rPr>
              <w:t>分）</w:t>
            </w: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color w:val="auto"/>
                <w:sz w:val="24"/>
              </w:rPr>
            </w:pPr>
          </w:p>
          <w:p>
            <w:pPr>
              <w:spacing w:line="360" w:lineRule="auto"/>
              <w:ind w:firstLine="435"/>
              <w:jc w:val="center"/>
              <w:rPr>
                <w:rFonts w:asciiTheme="minorEastAsia" w:hAnsiTheme="minorEastAsia" w:eastAsiaTheme="minorEastAsia"/>
                <w:color w:val="auto"/>
                <w:sz w:val="24"/>
              </w:rPr>
            </w:pPr>
          </w:p>
          <w:p>
            <w:pPr>
              <w:keepNext w:val="0"/>
              <w:keepLines w:val="0"/>
              <w:widowControl/>
              <w:suppressLineNumbers w:val="0"/>
              <w:jc w:val="center"/>
              <w:rPr>
                <w:rFonts w:hint="default"/>
                <w:color w:val="auto"/>
                <w:lang w:val="en-US"/>
              </w:rPr>
            </w:pPr>
            <w:r>
              <w:rPr>
                <w:rFonts w:hint="eastAsia" w:ascii="宋体" w:hAnsi="宋体" w:eastAsia="宋体" w:cs="宋体"/>
                <w:color w:val="auto"/>
                <w:kern w:val="0"/>
                <w:sz w:val="24"/>
                <w:szCs w:val="24"/>
                <w:lang w:val="en-US" w:eastAsia="zh-CN" w:bidi="ar"/>
              </w:rPr>
              <w:t>项目分析方案</w:t>
            </w:r>
          </w:p>
          <w:p>
            <w:pPr>
              <w:spacing w:line="360" w:lineRule="auto"/>
              <w:jc w:val="center"/>
              <w:rPr>
                <w:rFonts w:hint="default" w:asciiTheme="minorEastAsia" w:hAnsiTheme="minorEastAsia" w:eastAsiaTheme="minorEastAsia"/>
                <w:color w:val="auto"/>
                <w:sz w:val="24"/>
                <w:lang w:val="en-US"/>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磋商小组根据供应商提供的项目基本情况、项目背景、存在问题及综合分析等内容，由磋商小组进行综合评分：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1.分析方案透彻、清晰到位，能够提供符合现状的调研和痛点分析得10分；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2.分析方案能够满足采购项目要求，方案全面得7分；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3.分析方案能够满足采购项目基本要求，响应中包含整体分析方案，但缺少项目针对性得3分； </w:t>
            </w:r>
          </w:p>
          <w:p>
            <w:pPr>
              <w:spacing w:line="360" w:lineRule="auto"/>
              <w:rPr>
                <w:rFonts w:hint="default" w:asciiTheme="minorEastAsia" w:hAnsiTheme="minorEastAsia" w:eastAsiaTheme="minorEastAsia"/>
                <w:color w:val="auto"/>
                <w:sz w:val="24"/>
                <w:lang w:val="en-US"/>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color w:val="auto"/>
                <w:sz w:val="24"/>
              </w:rPr>
            </w:pPr>
          </w:p>
          <w:p>
            <w:pPr>
              <w:spacing w:line="360" w:lineRule="auto"/>
              <w:ind w:firstLine="435"/>
              <w:jc w:val="center"/>
              <w:rPr>
                <w:rFonts w:asciiTheme="minorEastAsia" w:hAnsiTheme="minorEastAsia" w:eastAsiaTheme="minorEastAsia"/>
                <w:color w:val="auto"/>
                <w:sz w:val="24"/>
              </w:rPr>
            </w:pP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服务方案</w:t>
            </w:r>
          </w:p>
          <w:p>
            <w:pPr>
              <w:spacing w:line="360" w:lineRule="auto"/>
              <w:jc w:val="center"/>
              <w:rPr>
                <w:rFonts w:asciiTheme="minorEastAsia" w:hAnsiTheme="minorEastAsia" w:eastAsiaTheme="minorEastAsia"/>
                <w:color w:val="auto"/>
                <w:sz w:val="24"/>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供应商能够充分理解本项目的需求，从项目实施总体安排、服务管理方案、人员安排等，由磋商小组进行综合评分：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1.服务方案详尽，内容全面，能够提供符合现状要求的服务方案得10分；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2.服务方案较为详尽，内容较为全面得7分；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3.服务方案能够满足采购项目基本要求，但缺少项目针对性得3分； </w:t>
            </w:r>
          </w:p>
          <w:p>
            <w:pPr>
              <w:spacing w:line="360" w:lineRule="auto"/>
              <w:rPr>
                <w:rFonts w:hint="default"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设备设施</w:t>
            </w:r>
          </w:p>
          <w:p>
            <w:pPr>
              <w:spacing w:line="360" w:lineRule="auto"/>
              <w:jc w:val="center"/>
              <w:rPr>
                <w:rFonts w:hint="default" w:cs="@仿宋_GB2312" w:asciiTheme="minorEastAsia" w:hAnsiTheme="minorEastAsia" w:eastAsiaTheme="minorEastAsia"/>
                <w:color w:val="auto"/>
                <w:kern w:val="2"/>
                <w:sz w:val="24"/>
                <w:szCs w:val="20"/>
                <w:lang w:val="en-US" w:eastAsia="zh-CN" w:bidi="ar-SA"/>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根据供应商提供的针对本项目制定的设备设施等内容，由磋商小组进行综合评分：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1.设备设施配置全面，能够提供符合现状要求得10分；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2.设备设施配置较为全面，能较好的满足采购需求的得7分；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3.设备设施配置能够基本满足采购项目基本要求，但缺少项目针对性得3分； </w:t>
            </w:r>
          </w:p>
          <w:p>
            <w:pPr>
              <w:spacing w:line="360" w:lineRule="auto"/>
              <w:rPr>
                <w:rFonts w:hint="default"/>
                <w:color w:val="auto"/>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应急措施</w:t>
            </w:r>
          </w:p>
          <w:p>
            <w:pPr>
              <w:spacing w:line="360" w:lineRule="auto"/>
              <w:rPr>
                <w:rFonts w:hint="default" w:asciiTheme="minorEastAsia" w:hAnsiTheme="minorEastAsia" w:eastAsiaTheme="minorEastAsia"/>
                <w:color w:val="auto"/>
                <w:sz w:val="24"/>
                <w:lang w:val="en-US" w:eastAsia="zh-CN"/>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根据供应商针对本项目制订的应急措施（包括但不限于突发事故应急预案和重要安全防护以及处置措施），由磋商小组进行综合评分：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1.应急措施预案详细完整，针对性强，能够提供符合现状要求的应急措施得10分；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2.应急措施预案较详细完整，有针对性，符合现状要求得7分；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3.应急措施预案满足基本要求，缺少项目针对性得3分； </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color w:val="auto"/>
                <w:lang w:val="en-US"/>
              </w:rPr>
            </w:pPr>
            <w:r>
              <w:rPr>
                <w:rFonts w:hint="eastAsia" w:ascii="宋体" w:hAnsi="宋体" w:eastAsia="宋体" w:cs="宋体"/>
                <w:color w:val="auto"/>
                <w:kern w:val="0"/>
                <w:sz w:val="24"/>
                <w:szCs w:val="24"/>
                <w:lang w:val="en-US" w:eastAsia="zh-CN" w:bidi="ar"/>
              </w:rPr>
              <w:t>人员配备方案</w:t>
            </w:r>
          </w:p>
          <w:p>
            <w:pPr>
              <w:spacing w:line="360" w:lineRule="auto"/>
              <w:jc w:val="center"/>
              <w:rPr>
                <w:rFonts w:hint="default" w:asciiTheme="minorEastAsia" w:hAnsiTheme="minorEastAsia" w:eastAsiaTheme="minorEastAsia"/>
                <w:color w:val="auto"/>
                <w:sz w:val="24"/>
                <w:lang w:val="en-US" w:eastAsia="zh-CN"/>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磋商小组根据供应商提供的人员配备方案进行综合评分：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1.人员配备完善，具备与本项目相匹配的能力，分工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明确，有利于本项目实施的，得10分；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2.人员配备适合本项目采购需求，具备与本项目设备相匹配的能力，较利于本项目实施的，得7分；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3.人员配备适合本项目采购需求基本适合本项目采购需求，分配状况有待改善，得3分； </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zh-CN" w:eastAsia="zh-CN"/>
              </w:rPr>
              <w:t>项目实施计划</w:t>
            </w: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磋商小组根据供应商提供的项目实施计划（包含但不限于计划安排、时间节点控制等）进行</w:t>
            </w:r>
            <w:r>
              <w:rPr>
                <w:rFonts w:hint="eastAsia" w:ascii="宋体" w:hAnsi="宋体" w:eastAsia="宋体" w:cs="宋体"/>
                <w:color w:val="auto"/>
                <w:sz w:val="24"/>
                <w:szCs w:val="24"/>
                <w:lang w:val="en-US" w:eastAsia="zh-CN"/>
              </w:rPr>
              <w:t>综合</w:t>
            </w:r>
            <w:r>
              <w:rPr>
                <w:rFonts w:hint="eastAsia" w:ascii="宋体" w:hAnsi="宋体" w:eastAsia="宋体" w:cs="宋体"/>
                <w:color w:val="auto"/>
                <w:sz w:val="24"/>
                <w:szCs w:val="24"/>
                <w:lang w:val="zh-CN" w:eastAsia="zh-CN"/>
              </w:rPr>
              <w:t>评</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zh-CN" w:eastAsia="zh-CN"/>
              </w:rPr>
              <w:t>：</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项目实施计划详细，可行性、实用性、针对性强的，得5分；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项目实施计划基本详细，具有可行性、实用性和针对性的，得3分；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项目实施计划细节有待完善的，得1分；</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计划不可行或者未提供的，得</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eastAsia="zh-CN"/>
              </w:rPr>
              <w:t>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color w:val="auto"/>
              </w:rPr>
            </w:pPr>
            <w:r>
              <w:rPr>
                <w:rFonts w:hint="eastAsia" w:ascii="宋体" w:hAnsi="宋体" w:eastAsia="宋体" w:cs="宋体"/>
                <w:color w:val="auto"/>
                <w:kern w:val="0"/>
                <w:sz w:val="24"/>
                <w:szCs w:val="24"/>
                <w:lang w:val="en-US" w:eastAsia="zh-CN" w:bidi="ar"/>
              </w:rPr>
              <w:t>安全运行</w:t>
            </w:r>
          </w:p>
          <w:p>
            <w:pPr>
              <w:keepNext w:val="0"/>
              <w:keepLines w:val="0"/>
              <w:widowControl/>
              <w:suppressLineNumbers w:val="0"/>
              <w:jc w:val="center"/>
              <w:rPr>
                <w:color w:val="auto"/>
              </w:rPr>
            </w:pPr>
            <w:r>
              <w:rPr>
                <w:rFonts w:hint="eastAsia" w:ascii="宋体" w:hAnsi="宋体" w:eastAsia="宋体" w:cs="宋体"/>
                <w:color w:val="auto"/>
                <w:kern w:val="0"/>
                <w:sz w:val="24"/>
                <w:szCs w:val="24"/>
                <w:lang w:val="en-US" w:eastAsia="zh-CN" w:bidi="ar"/>
              </w:rPr>
              <w:t>方案</w:t>
            </w:r>
          </w:p>
          <w:p>
            <w:pPr>
              <w:spacing w:line="360" w:lineRule="auto"/>
              <w:rPr>
                <w:rFonts w:hint="eastAsia" w:asciiTheme="minorEastAsia" w:hAnsiTheme="minorEastAsia" w:eastAsiaTheme="minorEastAsia"/>
                <w:color w:val="auto"/>
                <w:sz w:val="24"/>
                <w:lang w:val="en-US" w:eastAsia="zh-CN"/>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磋商小组根据供应商响应文件中提供的针对本项目制定的安全运行方案情况进行综合评分：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1.安全运行方案高效可行，内容组成丰富，专业程度高，得10分；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2.安全运行方案可行性较强，内容组成贴合度较高，专业程度基本满足项目需求，得7分； </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3.安全运行方案可行性不强，内容组成贴合度不高，专业程度有待提升的，得3分；</w:t>
            </w:r>
          </w:p>
          <w:p>
            <w:pPr>
              <w:spacing w:line="360" w:lineRule="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sz w:val="24"/>
                <w:szCs w:val="24"/>
                <w:lang w:val="en-US" w:eastAsia="zh-CN"/>
              </w:rPr>
              <w:t xml:space="preserve">4、未提供的得0分。 </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val="zh-CN" w:eastAsia="zh-CN"/>
              </w:rPr>
              <w:t>业绩</w:t>
            </w: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自2023年1月1日以来（以合同签订时间为准），供应商</w:t>
            </w:r>
            <w:r>
              <w:rPr>
                <w:rFonts w:hint="eastAsia" w:ascii="宋体" w:hAnsi="宋体" w:eastAsia="宋体" w:cs="宋体"/>
                <w:color w:val="auto"/>
                <w:sz w:val="24"/>
                <w:szCs w:val="24"/>
                <w:highlight w:val="none"/>
                <w:lang w:val="en-US" w:eastAsia="zh-CN"/>
              </w:rPr>
              <w:t>具有拆除或安装业绩的，</w:t>
            </w:r>
            <w:r>
              <w:rPr>
                <w:rFonts w:hint="eastAsia" w:ascii="宋体" w:hAnsi="宋体" w:eastAsia="宋体" w:cs="宋体"/>
                <w:color w:val="auto"/>
                <w:sz w:val="24"/>
                <w:szCs w:val="24"/>
                <w:lang w:val="en-US" w:eastAsia="zh-CN"/>
              </w:rPr>
              <w:t xml:space="preserve">每提供1个业绩得5分，满分15分。 </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b/>
                <w:bCs/>
                <w:color w:val="auto"/>
                <w:kern w:val="0"/>
                <w:sz w:val="24"/>
                <w:szCs w:val="24"/>
                <w:highlight w:val="none"/>
                <w:lang w:val="en-US" w:eastAsia="zh-CN" w:bidi="ar"/>
              </w:rPr>
              <w:t>注：以响应文件中提供的合同为评审依据，如合同无法体现评审要素的，须另附合同甲方出具的有效证明材料（加盖合同甲方公章）。正在履约或履约完成的业绩均予以认可。</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pct"/>
            <w:tcBorders>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w:t>
            </w:r>
            <w:r>
              <w:rPr>
                <w:rFonts w:hint="eastAsia" w:asciiTheme="minorEastAsia" w:hAnsiTheme="minorEastAsia" w:eastAsiaTheme="minorEastAsia"/>
                <w:color w:val="auto"/>
                <w:sz w:val="24"/>
                <w:highlight w:val="none"/>
                <w:u w:val="single"/>
              </w:rPr>
              <w:t xml:space="preserve">0 </w:t>
            </w:r>
            <w:r>
              <w:rPr>
                <w:rFonts w:hint="eastAsia" w:asciiTheme="minorEastAsia" w:hAnsiTheme="minorEastAsia" w:eastAsiaTheme="minorEastAsia"/>
                <w:color w:val="auto"/>
                <w:sz w:val="24"/>
                <w:highlight w:val="none"/>
              </w:rPr>
              <w:t>分）</w:t>
            </w:r>
          </w:p>
        </w:tc>
        <w:tc>
          <w:tcPr>
            <w:tcW w:w="4262"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4"/>
                <w:highlight w:val="none"/>
              </w:rPr>
            </w:pPr>
            <w:r>
              <w:rPr>
                <w:rFonts w:hint="eastAsia" w:ascii="宋体" w:hAnsi="宋体" w:eastAsia="宋体"/>
                <w:color w:val="auto"/>
                <w:sz w:val="24"/>
                <w:highlight w:val="none"/>
              </w:rPr>
              <w:t>价格分统一采用低价优先法，即满足磋商文件要求且最后报价最低的供应商的价格为磋商基准价，其价格分为满分</w:t>
            </w:r>
            <w:r>
              <w:rPr>
                <w:rFonts w:hint="eastAsia" w:ascii="宋体" w:hAnsi="宋体" w:eastAsia="宋体"/>
                <w:color w:val="auto"/>
                <w:sz w:val="24"/>
                <w:highlight w:val="none"/>
                <w:u w:val="single"/>
                <w:lang w:val="en-US" w:eastAsia="zh-CN"/>
              </w:rPr>
              <w:t>20</w:t>
            </w:r>
            <w:r>
              <w:rPr>
                <w:rFonts w:hint="eastAsia" w:ascii="宋体" w:hAnsi="宋体" w:eastAsia="宋体"/>
                <w:color w:val="auto"/>
                <w:sz w:val="24"/>
                <w:highlight w:val="none"/>
              </w:rPr>
              <w:t>分。其他供应商的价格分统一按照下列公式计算（计算结果四舍五入保留至小数点后两位数）：</w:t>
            </w:r>
          </w:p>
          <w:p>
            <w:pPr>
              <w:spacing w:line="360" w:lineRule="auto"/>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磋商报价得分＝（磋商基准价/最后磋商报价）×</w:t>
            </w:r>
            <w:r>
              <w:rPr>
                <w:rFonts w:hint="eastAsia" w:ascii="宋体" w:hAnsi="宋体" w:eastAsia="宋体"/>
                <w:color w:val="auto"/>
                <w:sz w:val="24"/>
                <w:highlight w:val="none"/>
                <w:u w:val="single"/>
                <w:lang w:val="en-US" w:eastAsia="zh-CN"/>
              </w:rPr>
              <w:t>20</w:t>
            </w:r>
            <w:r>
              <w:rPr>
                <w:rFonts w:hint="eastAsia" w:ascii="宋体" w:hAnsi="宋体" w:eastAsia="宋体"/>
                <w:color w:val="auto"/>
                <w:sz w:val="24"/>
                <w:highlight w:val="none"/>
              </w:rPr>
              <w:t>％×100</w:t>
            </w:r>
          </w:p>
        </w:tc>
      </w:tr>
    </w:tbl>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48" w:name="_Toc17167"/>
      <w:bookmarkStart w:id="49" w:name="_Toc63440929"/>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48"/>
      <w:bookmarkEnd w:id="49"/>
      <w:r>
        <w:rPr>
          <w:rFonts w:hint="eastAsia" w:asciiTheme="minorEastAsia" w:hAnsiTheme="minorEastAsia" w:eastAsiaTheme="minorEastAsia"/>
          <w:b/>
          <w:sz w:val="28"/>
        </w:rPr>
        <w:t>参考范本</w:t>
      </w:r>
    </w:p>
    <w:p>
      <w:pPr>
        <w:numPr>
          <w:ilvl w:val="0"/>
          <w:numId w:val="0"/>
        </w:numPr>
        <w:spacing w:line="360" w:lineRule="auto"/>
        <w:jc w:val="center"/>
        <w:outlineLvl w:val="0"/>
        <w:rPr>
          <w:rFonts w:hint="eastAsia" w:asciiTheme="minorEastAsia" w:hAnsiTheme="minorEastAsia" w:eastAsiaTheme="minorEastAsia"/>
          <w:b w:val="0"/>
          <w:bCs/>
          <w:sz w:val="28"/>
        </w:rPr>
      </w:pPr>
      <w:r>
        <w:rPr>
          <w:rFonts w:hint="eastAsia" w:asciiTheme="minorEastAsia" w:hAnsiTheme="minorEastAsia" w:eastAsiaTheme="minorEastAsia"/>
          <w:b w:val="0"/>
          <w:bCs/>
          <w:sz w:val="28"/>
          <w:lang w:eastAsia="zh-CN"/>
        </w:rPr>
        <w:t>（</w:t>
      </w:r>
      <w:r>
        <w:rPr>
          <w:rFonts w:hint="eastAsia" w:asciiTheme="minorEastAsia" w:hAnsiTheme="minorEastAsia" w:eastAsiaTheme="minorEastAsia"/>
          <w:b w:val="0"/>
          <w:bCs/>
          <w:sz w:val="28"/>
          <w:lang w:val="en-US" w:eastAsia="zh-CN"/>
        </w:rPr>
        <w:t>以采购人和成交人实际签订版本为准</w:t>
      </w:r>
      <w:r>
        <w:rPr>
          <w:rFonts w:hint="eastAsia" w:asciiTheme="minorEastAsia" w:hAnsiTheme="minorEastAsia" w:eastAsiaTheme="minorEastAsia"/>
          <w:b w:val="0"/>
          <w:bCs/>
          <w:sz w:val="28"/>
          <w:lang w:eastAsia="zh-CN"/>
        </w:rPr>
        <w:t>）</w:t>
      </w: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360" w:lineRule="auto"/>
        <w:jc w:val="center"/>
        <w:outlineLvl w:val="0"/>
        <w:rPr>
          <w:rFonts w:hint="eastAsia" w:asciiTheme="minorEastAsia" w:hAnsiTheme="minorEastAsia" w:eastAsiaTheme="minorEastAsia"/>
          <w:b/>
          <w:sz w:val="28"/>
        </w:rPr>
      </w:pPr>
      <w:bookmarkStart w:id="50" w:name="_Toc2430"/>
      <w:bookmarkStart w:id="51" w:name="_Toc25148"/>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50"/>
      <w:bookmarkEnd w:id="51"/>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72"/>
          <w:highlight w:val="yellow"/>
        </w:rPr>
      </w:pPr>
    </w:p>
    <w:p>
      <w:pPr>
        <w:spacing w:after="156" w:afterLines="50" w:line="500" w:lineRule="exact"/>
        <w:jc w:val="center"/>
        <w:rPr>
          <w:rFonts w:asciiTheme="minorEastAsia" w:hAnsiTheme="minorEastAsia" w:eastAsiaTheme="minorEastAsia"/>
          <w:b/>
          <w:sz w:val="28"/>
          <w:szCs w:val="28"/>
        </w:rPr>
      </w:pPr>
    </w:p>
    <w:p>
      <w:pPr>
        <w:numPr>
          <w:ilvl w:val="0"/>
          <w:numId w:val="0"/>
        </w:numPr>
        <w:spacing w:before="0" w:after="0"/>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宋体" w:hAnsi="宋体" w:eastAsia="宋体"/>
          <w:b/>
          <w:spacing w:val="20"/>
          <w:kern w:val="0"/>
          <w:sz w:val="32"/>
          <w:szCs w:val="32"/>
          <w:u w:val="single"/>
          <w:lang w:val="en-US" w:eastAsia="zh-CN"/>
        </w:rPr>
        <w:t>长丰县人民医院老液氧站拆除及空压管道对接服务</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w:t>
      </w:r>
      <w:r>
        <w:rPr>
          <w:rFonts w:hint="eastAsia" w:ascii="宋体" w:hAnsi="宋体" w:eastAsia="宋体"/>
          <w:b/>
          <w:spacing w:val="20"/>
          <w:kern w:val="0"/>
          <w:sz w:val="32"/>
          <w:szCs w:val="32"/>
          <w:u w:val="single"/>
          <w:lang w:val="en-US" w:eastAsia="zh-CN"/>
        </w:rPr>
        <w:t xml:space="preserve">08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bookmarkStart w:id="52"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rPr>
        <w:t>日</w:t>
      </w:r>
      <w:bookmarkEnd w:id="52"/>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3" w:name="_Toc461053086"/>
      <w:bookmarkStart w:id="54" w:name="_Toc461056631"/>
      <w:bookmarkStart w:id="55" w:name="_Toc5881"/>
      <w:bookmarkStart w:id="56" w:name="_Toc520983587"/>
      <w:bookmarkStart w:id="57" w:name="_Toc26791"/>
      <w:r>
        <w:rPr>
          <w:rFonts w:hint="eastAsia" w:asciiTheme="minorEastAsia" w:hAnsiTheme="minorEastAsia" w:eastAsiaTheme="minorEastAsia"/>
          <w:b/>
          <w:sz w:val="24"/>
        </w:rPr>
        <w:t>一</w:t>
      </w:r>
      <w:bookmarkEnd w:id="53"/>
      <w:bookmarkEnd w:id="54"/>
      <w:r>
        <w:rPr>
          <w:rFonts w:hint="eastAsia" w:asciiTheme="minorEastAsia" w:hAnsiTheme="minorEastAsia" w:eastAsiaTheme="minorEastAsia"/>
          <w:b/>
          <w:sz w:val="24"/>
        </w:rPr>
        <w:t>、报价表</w:t>
      </w:r>
      <w:bookmarkEnd w:id="55"/>
      <w:bookmarkEnd w:id="56"/>
      <w:bookmarkEnd w:id="57"/>
    </w:p>
    <w:p>
      <w:pPr>
        <w:snapToGrid w:val="0"/>
        <w:spacing w:line="360" w:lineRule="auto"/>
        <w:jc w:val="left"/>
        <w:rPr>
          <w:rFonts w:hint="eastAsia" w:ascii="宋体" w:hAnsi="宋体" w:eastAsia="宋体"/>
          <w:b/>
          <w:sz w:val="24"/>
          <w:szCs w:val="28"/>
        </w:rPr>
      </w:pPr>
    </w:p>
    <w:p>
      <w:pPr>
        <w:numPr>
          <w:ilvl w:val="0"/>
          <w:numId w:val="0"/>
        </w:numPr>
        <w:spacing w:before="0" w:after="0"/>
        <w:ind w:firstLine="482" w:firstLineChars="200"/>
        <w:rPr>
          <w:rFonts w:hint="eastAsia" w:ascii="宋体" w:hAnsi="宋体" w:eastAsia="宋体" w:cs="宋体"/>
          <w:sz w:val="24"/>
          <w:szCs w:val="24"/>
          <w:u w:val="single"/>
          <w:lang w:val="en-US" w:eastAsia="zh-CN"/>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长丰县人民医院老液氧站拆除及空压管道对接服务</w:t>
      </w:r>
    </w:p>
    <w:p>
      <w:pPr>
        <w:numPr>
          <w:ilvl w:val="0"/>
          <w:numId w:val="0"/>
        </w:numPr>
        <w:spacing w:before="0" w:after="0"/>
        <w:ind w:firstLine="482" w:firstLineChars="200"/>
        <w:rPr>
          <w:rFonts w:hint="eastAsia" w:ascii="宋体" w:hAnsi="宋体" w:eastAsia="宋体"/>
          <w:b/>
          <w:sz w:val="24"/>
          <w:szCs w:val="28"/>
        </w:rPr>
      </w:pPr>
    </w:p>
    <w:p>
      <w:pPr>
        <w:numPr>
          <w:ilvl w:val="0"/>
          <w:numId w:val="0"/>
        </w:numPr>
        <w:spacing w:before="0" w:after="0"/>
        <w:ind w:firstLine="482" w:firstLineChars="200"/>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CFXRMYY2026008             </w:t>
      </w:r>
      <w:r>
        <w:rPr>
          <w:rFonts w:hint="eastAsia" w:ascii="宋体" w:hAnsi="宋体" w:eastAsia="宋体"/>
          <w:b/>
          <w:sz w:val="24"/>
          <w:szCs w:val="28"/>
          <w:u w:val="single"/>
        </w:rPr>
        <w:t xml:space="preserve">  </w:t>
      </w:r>
    </w:p>
    <w:tbl>
      <w:tblPr>
        <w:tblStyle w:val="14"/>
        <w:tblpPr w:leftFromText="180" w:rightFromText="180" w:vertAnchor="text" w:horzAnchor="page" w:tblpX="1785" w:tblpY="54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978"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sz w:val="24"/>
              </w:rPr>
              <w:t>磋商范围</w:t>
            </w:r>
          </w:p>
        </w:tc>
        <w:tc>
          <w:tcPr>
            <w:tcW w:w="3978"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021"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报价</w:t>
            </w:r>
          </w:p>
        </w:tc>
        <w:tc>
          <w:tcPr>
            <w:tcW w:w="3978" w:type="pct"/>
            <w:vAlign w:val="center"/>
          </w:tcPr>
          <w:p>
            <w:pPr>
              <w:snapToGrid w:val="0"/>
              <w:spacing w:line="360" w:lineRule="auto"/>
              <w:jc w:val="left"/>
              <w:rPr>
                <w:rFonts w:hint="eastAsia" w:ascii="宋体" w:hAnsi="宋体" w:eastAsia="宋体" w:cs="宋体"/>
                <w:bCs/>
                <w:color w:val="auto"/>
                <w:sz w:val="24"/>
                <w:szCs w:val="24"/>
                <w:highlight w:val="none"/>
              </w:rPr>
            </w:pPr>
          </w:p>
          <w:p>
            <w:pPr>
              <w:snapToGrid w:val="0"/>
              <w:spacing w:line="360" w:lineRule="auto"/>
              <w:jc w:val="left"/>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pacing w:line="360" w:lineRule="auto"/>
              <w:ind w:right="-670"/>
              <w:rPr>
                <w:rFonts w:hint="eastAsia" w:ascii="宋体" w:hAnsi="宋体" w:eastAsia="宋体"/>
                <w:sz w:val="24"/>
                <w:szCs w:val="28"/>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napToGrid w:val="0"/>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021"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978" w:type="pct"/>
          </w:tcPr>
          <w:p>
            <w:pPr>
              <w:spacing w:line="360" w:lineRule="auto"/>
              <w:rPr>
                <w:rFonts w:ascii="宋体" w:hAnsi="宋体" w:eastAsia="宋体"/>
                <w:b/>
                <w:sz w:val="24"/>
              </w:rPr>
            </w:pPr>
          </w:p>
        </w:tc>
      </w:tr>
    </w:tbl>
    <w:p>
      <w:pPr>
        <w:spacing w:line="440" w:lineRule="exact"/>
        <w:ind w:firstLine="5520" w:firstLineChars="2300"/>
        <w:rPr>
          <w:rFonts w:hint="eastAsia"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lang w:val="en-US" w:eastAsia="zh-CN"/>
        </w:rPr>
        <w:t>盖</w:t>
      </w:r>
      <w:r>
        <w:rPr>
          <w:rFonts w:hint="eastAsia" w:ascii="宋体" w:hAnsi="宋体" w:eastAsia="宋体"/>
          <w:sz w:val="24"/>
          <w:szCs w:val="24"/>
        </w:rPr>
        <w:t xml:space="preserve">章：     </w:t>
      </w:r>
      <w:r>
        <w:rPr>
          <w:rFonts w:ascii="宋体" w:hAnsi="宋体" w:eastAsia="宋体"/>
          <w:sz w:val="24"/>
          <w:szCs w:val="24"/>
        </w:rPr>
        <w:t xml:space="preserve">    </w:t>
      </w:r>
      <w:r>
        <w:rPr>
          <w:rFonts w:hint="eastAsia" w:ascii="宋体" w:hAnsi="宋体" w:eastAsia="宋体"/>
          <w:sz w:val="24"/>
          <w:szCs w:val="24"/>
        </w:rPr>
        <w:t xml:space="preserve">    </w:t>
      </w:r>
    </w:p>
    <w:p>
      <w:pPr>
        <w:spacing w:line="440" w:lineRule="exact"/>
        <w:ind w:firstLine="5520" w:firstLineChars="2300"/>
        <w:rPr>
          <w:rFonts w:hint="eastAsia"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pPr>
        <w:widowControl/>
        <w:jc w:val="left"/>
        <w:rPr>
          <w:rFonts w:ascii="宋体" w:hAnsi="宋体" w:eastAsia="宋体"/>
          <w:b/>
          <w:bCs/>
          <w:sz w:val="24"/>
          <w:szCs w:val="28"/>
        </w:rPr>
      </w:pPr>
      <w:r>
        <w:rPr>
          <w:rFonts w:ascii="宋体" w:hAnsi="宋体" w:eastAsia="宋体"/>
          <w:b/>
          <w:bCs/>
          <w:sz w:val="24"/>
          <w:szCs w:val="28"/>
        </w:rPr>
        <w:br w:type="page"/>
      </w:r>
    </w:p>
    <w:p>
      <w:pPr>
        <w:spacing w:line="360" w:lineRule="auto"/>
        <w:jc w:val="center"/>
        <w:outlineLvl w:val="1"/>
        <w:rPr>
          <w:rFonts w:asciiTheme="minorEastAsia" w:hAnsiTheme="minorEastAsia" w:eastAsiaTheme="minorEastAsia"/>
          <w:b/>
          <w:sz w:val="24"/>
        </w:rPr>
      </w:pPr>
      <w:bookmarkStart w:id="58" w:name="_Toc461056632"/>
      <w:bookmarkStart w:id="59" w:name="_Toc461053087"/>
      <w:bookmarkStart w:id="60" w:name="_Toc28695"/>
      <w:bookmarkStart w:id="61" w:name="_Toc520983588"/>
      <w:bookmarkStart w:id="62" w:name="_Toc32436"/>
      <w:r>
        <w:rPr>
          <w:rFonts w:hint="eastAsia" w:asciiTheme="minorEastAsia" w:hAnsiTheme="minorEastAsia" w:eastAsiaTheme="minorEastAsia"/>
          <w:b/>
          <w:sz w:val="24"/>
        </w:rPr>
        <w:t>二</w:t>
      </w:r>
      <w:bookmarkEnd w:id="58"/>
      <w:bookmarkEnd w:id="59"/>
      <w:r>
        <w:rPr>
          <w:rFonts w:hint="eastAsia" w:asciiTheme="minorEastAsia" w:hAnsiTheme="minorEastAsia" w:eastAsiaTheme="minorEastAsia"/>
          <w:b/>
          <w:sz w:val="24"/>
        </w:rPr>
        <w:t>、最后承诺报价表</w:t>
      </w:r>
      <w:bookmarkEnd w:id="60"/>
      <w:bookmarkEnd w:id="61"/>
      <w:bookmarkEnd w:id="62"/>
    </w:p>
    <w:p>
      <w:pPr>
        <w:snapToGrid w:val="0"/>
        <w:spacing w:line="360" w:lineRule="auto"/>
        <w:jc w:val="left"/>
        <w:rPr>
          <w:rFonts w:hint="eastAsia" w:ascii="宋体" w:hAnsi="宋体" w:eastAsia="宋体"/>
          <w:b/>
          <w:sz w:val="24"/>
          <w:szCs w:val="28"/>
        </w:rPr>
      </w:pPr>
    </w:p>
    <w:p>
      <w:pPr>
        <w:snapToGrid w:val="0"/>
        <w:spacing w:line="360" w:lineRule="auto"/>
        <w:jc w:val="left"/>
        <w:rPr>
          <w:rFonts w:hint="eastAsia" w:ascii="宋体" w:hAnsi="宋体" w:eastAsia="宋体"/>
          <w:b/>
          <w:sz w:val="24"/>
          <w:szCs w:val="28"/>
          <w:u w:val="single"/>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长丰县人民医院法律顾问服务采购项目</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p>
    <w:p>
      <w:pPr>
        <w:snapToGrid w:val="0"/>
        <w:spacing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CFXRMYY2026007    </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780"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780"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19"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bCs/>
                <w:sz w:val="24"/>
                <w:szCs w:val="28"/>
              </w:rPr>
              <w:t>最后报价</w:t>
            </w:r>
          </w:p>
        </w:tc>
        <w:tc>
          <w:tcPr>
            <w:tcW w:w="3780" w:type="pct"/>
            <w:vAlign w:val="center"/>
          </w:tcPr>
          <w:p>
            <w:pPr>
              <w:snapToGrid w:val="0"/>
              <w:spacing w:line="360" w:lineRule="auto"/>
              <w:jc w:val="left"/>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pacing w:line="360" w:lineRule="auto"/>
              <w:ind w:right="-670"/>
              <w:rPr>
                <w:rFonts w:ascii="宋体" w:hAnsi="宋体" w:eastAsia="宋体"/>
                <w:b/>
                <w:sz w:val="24"/>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780" w:type="pct"/>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780" w:type="pct"/>
          </w:tcPr>
          <w:p>
            <w:pPr>
              <w:spacing w:line="360" w:lineRule="auto"/>
              <w:rPr>
                <w:rFonts w:ascii="宋体" w:hAnsi="宋体" w:eastAsia="宋体"/>
                <w:b/>
                <w:sz w:val="24"/>
              </w:rPr>
            </w:pPr>
          </w:p>
        </w:tc>
      </w:tr>
    </w:tbl>
    <w:p>
      <w:pPr>
        <w:spacing w:line="360" w:lineRule="auto"/>
        <w:ind w:firstLine="1680" w:firstLineChars="700"/>
        <w:jc w:val="left"/>
        <w:rPr>
          <w:rFonts w:hint="eastAsia" w:ascii="宋体" w:hAnsi="宋体" w:eastAsia="宋体"/>
          <w:sz w:val="24"/>
        </w:rPr>
      </w:pPr>
      <w:r>
        <w:rPr>
          <w:rFonts w:hint="eastAsia" w:ascii="宋体" w:hAnsi="宋体" w:eastAsia="宋体"/>
          <w:sz w:val="24"/>
        </w:rPr>
        <w:t xml:space="preserve">                            </w:t>
      </w:r>
    </w:p>
    <w:p>
      <w:pPr>
        <w:spacing w:line="360" w:lineRule="auto"/>
        <w:ind w:firstLine="4080" w:firstLineChars="1700"/>
        <w:jc w:val="left"/>
        <w:rPr>
          <w:rFonts w:ascii="宋体" w:hAnsi="宋体" w:eastAsia="宋体"/>
          <w:sz w:val="24"/>
        </w:rPr>
      </w:pPr>
      <w:r>
        <w:rPr>
          <w:rFonts w:hint="eastAsia" w:ascii="宋体" w:hAnsi="宋体" w:eastAsia="宋体"/>
          <w:sz w:val="24"/>
        </w:rPr>
        <w:t>供应商公章或授权代表签字：</w:t>
      </w:r>
    </w:p>
    <w:p>
      <w:pPr>
        <w:spacing w:line="360" w:lineRule="auto"/>
        <w:ind w:firstLine="1200" w:firstLineChars="500"/>
        <w:jc w:val="left"/>
        <w:rPr>
          <w:rFonts w:hint="eastAsia" w:ascii="宋体" w:hAnsi="宋体" w:eastAsia="宋体"/>
          <w:sz w:val="24"/>
        </w:rPr>
      </w:pPr>
    </w:p>
    <w:p>
      <w:pPr>
        <w:spacing w:line="360" w:lineRule="auto"/>
        <w:ind w:firstLine="4800" w:firstLineChars="2000"/>
        <w:jc w:val="left"/>
        <w:rPr>
          <w:rFonts w:ascii="宋体" w:hAnsi="宋体" w:eastAsia="宋体"/>
          <w:sz w:val="24"/>
          <w:u w:val="single"/>
        </w:rPr>
      </w:pPr>
      <w:r>
        <w:rPr>
          <w:rFonts w:hint="eastAsia" w:ascii="宋体" w:hAnsi="宋体" w:eastAsia="宋体"/>
          <w:sz w:val="24"/>
        </w:rPr>
        <w:t xml:space="preserve">日      期：                    </w:t>
      </w:r>
    </w:p>
    <w:p>
      <w:pPr>
        <w:widowControl/>
        <w:jc w:val="left"/>
        <w:rPr>
          <w:rFonts w:ascii="宋体" w:hAnsi="宋体" w:eastAsia="宋体"/>
          <w:bCs/>
          <w:sz w:val="24"/>
        </w:rPr>
      </w:pPr>
      <w:r>
        <w:rPr>
          <w:rFonts w:ascii="宋体" w:hAnsi="宋体" w:eastAsia="宋体"/>
          <w:bCs/>
          <w:sz w:val="24"/>
        </w:rPr>
        <w:br w:type="page"/>
      </w:r>
    </w:p>
    <w:p>
      <w:pPr>
        <w:spacing w:line="360" w:lineRule="auto"/>
        <w:jc w:val="center"/>
        <w:outlineLvl w:val="1"/>
        <w:rPr>
          <w:rFonts w:asciiTheme="minorEastAsia" w:hAnsiTheme="minorEastAsia" w:eastAsiaTheme="minorEastAsia"/>
          <w:b/>
          <w:sz w:val="24"/>
        </w:rPr>
      </w:pPr>
      <w:bookmarkStart w:id="63" w:name="_Toc11500"/>
      <w:bookmarkStart w:id="64" w:name="_Toc32385"/>
      <w:bookmarkStart w:id="65" w:name="_Toc520983591"/>
      <w:r>
        <w:rPr>
          <w:rFonts w:hint="eastAsia" w:asciiTheme="minorEastAsia" w:hAnsiTheme="minorEastAsia" w:eastAsiaTheme="minorEastAsia"/>
          <w:b/>
          <w:sz w:val="24"/>
        </w:rPr>
        <w:t>三、磋商响应函</w:t>
      </w:r>
      <w:bookmarkEnd w:id="63"/>
      <w:bookmarkEnd w:id="64"/>
      <w:bookmarkEnd w:id="65"/>
    </w:p>
    <w:p>
      <w:pPr>
        <w:pStyle w:val="8"/>
        <w:spacing w:line="360" w:lineRule="auto"/>
        <w:rPr>
          <w:rFonts w:ascii="宋体" w:hAnsi="宋体"/>
          <w:sz w:val="24"/>
        </w:rPr>
      </w:pPr>
      <w:r>
        <w:rPr>
          <w:rFonts w:hint="eastAsia" w:ascii="宋体" w:hAnsi="宋体"/>
          <w:sz w:val="24"/>
        </w:rPr>
        <w:t>致：采购人</w:t>
      </w:r>
    </w:p>
    <w:p>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66" w:name="_Hlk44287543"/>
      <w:r>
        <w:rPr>
          <w:rFonts w:hint="eastAsia" w:ascii="宋体" w:hAnsi="宋体" w:eastAsia="宋体"/>
          <w:sz w:val="24"/>
        </w:rPr>
        <w:t>竞争性磋商公告和磋商邀请</w:t>
      </w:r>
      <w:bookmarkEnd w:id="66"/>
      <w:r>
        <w:rPr>
          <w:rFonts w:hint="eastAsia" w:ascii="宋体" w:hAnsi="宋体" w:eastAsia="宋体"/>
          <w:sz w:val="24"/>
        </w:rPr>
        <w:t>，我方兹宣布同意如下：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pPr>
        <w:spacing w:line="360" w:lineRule="auto"/>
        <w:ind w:firstLine="480" w:firstLineChars="200"/>
        <w:rPr>
          <w:rFonts w:ascii="宋体" w:hAnsi="宋体" w:eastAsia="宋体"/>
          <w:sz w:val="24"/>
        </w:rPr>
      </w:pPr>
    </w:p>
    <w:p>
      <w:pPr>
        <w:spacing w:line="360" w:lineRule="auto"/>
        <w:ind w:firstLine="4800" w:firstLineChars="2000"/>
        <w:rPr>
          <w:rFonts w:ascii="宋体" w:hAnsi="宋体" w:eastAsia="宋体"/>
          <w:sz w:val="24"/>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p>
    <w:p>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bookmarkStart w:id="67" w:name="_Toc21328"/>
      <w:r>
        <w:rPr>
          <w:rFonts w:hint="eastAsia" w:asciiTheme="minorEastAsia" w:hAnsiTheme="minorEastAsia" w:eastAsiaTheme="minorEastAsia"/>
          <w:b/>
          <w:sz w:val="24"/>
        </w:rPr>
        <w:t>四、供应商资格声明书</w:t>
      </w:r>
      <w:bookmarkEnd w:id="67"/>
    </w:p>
    <w:p>
      <w:pPr>
        <w:pStyle w:val="8"/>
        <w:spacing w:line="360" w:lineRule="auto"/>
        <w:rPr>
          <w:rFonts w:asciiTheme="minorEastAsia" w:hAnsiTheme="minorEastAsia" w:cstheme="minorEastAsia"/>
          <w:sz w:val="24"/>
          <w:szCs w:val="24"/>
        </w:rPr>
      </w:pPr>
      <w:r>
        <w:rPr>
          <w:rFonts w:hint="eastAsia" w:ascii="宋体" w:hAnsi="宋体"/>
          <w:sz w:val="24"/>
        </w:rPr>
        <w:t>致：采购人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在参与本次项目磋商中，我单位承诺：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color w:val="000000"/>
          <w:kern w:val="0"/>
          <w:sz w:val="24"/>
          <w:szCs w:val="24"/>
          <w:lang w:val="en-US" w:eastAsia="zh-CN" w:bidi="ar"/>
        </w:rPr>
        <w:t>五</w:t>
      </w:r>
      <w:r>
        <w:rPr>
          <w:rFonts w:hint="eastAsia" w:asciiTheme="minorEastAsia" w:hAnsiTheme="minorEastAsia" w:eastAsiaTheme="minorEastAsia" w:cstheme="minorEastAsia"/>
          <w:color w:val="000000"/>
          <w:kern w:val="0"/>
          <w:sz w:val="24"/>
          <w:szCs w:val="24"/>
          <w:lang w:bidi="ar"/>
        </w:rPr>
        <w:t>）与我单位存在单位负责人为同一人或者存在直接控股、管理关系的其他法人单位信息如下（如有，不论其是否参加同一合同项下的政府采购活动均须填写）：</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widowControl/>
              <w:spacing w:line="360" w:lineRule="auto"/>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pPr>
              <w:pStyle w:val="2"/>
              <w:jc w:val="center"/>
              <w:rPr>
                <w:rFonts w:asciiTheme="minorEastAsia" w:hAnsiTheme="minorEastAsia" w:eastAsiaTheme="minorEastAsia" w:cstheme="minorEastAsia"/>
                <w:color w:val="000000"/>
                <w:kern w:val="0"/>
                <w:sz w:val="24"/>
                <w:lang w:val="en-US" w:bidi="ar"/>
              </w:rPr>
            </w:pPr>
          </w:p>
        </w:tc>
        <w:tc>
          <w:tcPr>
            <w:tcW w:w="2681" w:type="dxa"/>
          </w:tcPr>
          <w:p>
            <w:pPr>
              <w:pStyle w:val="2"/>
              <w:jc w:val="center"/>
              <w:rPr>
                <w:rFonts w:asciiTheme="minorEastAsia" w:hAnsiTheme="minorEastAsia" w:eastAsiaTheme="minorEastAsia" w:cstheme="minorEastAsia"/>
                <w:color w:val="000000"/>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pPr>
              <w:pStyle w:val="2"/>
              <w:jc w:val="center"/>
              <w:rPr>
                <w:rFonts w:asciiTheme="minorEastAsia" w:hAnsiTheme="minorEastAsia" w:eastAsiaTheme="minorEastAsia" w:cstheme="minorEastAsia"/>
                <w:color w:val="000000"/>
                <w:kern w:val="0"/>
                <w:sz w:val="24"/>
                <w:lang w:val="en-US" w:bidi="ar"/>
              </w:rPr>
            </w:pPr>
          </w:p>
        </w:tc>
        <w:tc>
          <w:tcPr>
            <w:tcW w:w="2681" w:type="dxa"/>
          </w:tcPr>
          <w:p>
            <w:pPr>
              <w:pStyle w:val="2"/>
              <w:jc w:val="center"/>
              <w:rPr>
                <w:rFonts w:asciiTheme="minorEastAsia" w:hAnsiTheme="minorEastAsia" w:eastAsiaTheme="minorEastAsia" w:cstheme="minorEastAsia"/>
                <w:color w:val="000000"/>
                <w:kern w:val="0"/>
                <w:sz w:val="24"/>
                <w:lang w:val="en-US" w:bidi="ar"/>
              </w:rPr>
            </w:pPr>
          </w:p>
        </w:tc>
      </w:tr>
    </w:tbl>
    <w:p>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spacing w:line="360" w:lineRule="auto"/>
        <w:jc w:val="center"/>
        <w:outlineLvl w:val="1"/>
        <w:rPr>
          <w:rFonts w:hint="eastAsia" w:asciiTheme="minorEastAsia" w:hAnsiTheme="minorEastAsia" w:eastAsiaTheme="minorEastAsia"/>
          <w:b/>
          <w:sz w:val="24"/>
        </w:rPr>
      </w:pPr>
      <w:bookmarkStart w:id="68" w:name="_Toc520983594"/>
      <w:bookmarkStart w:id="69" w:name="_Toc516969106"/>
      <w:bookmarkStart w:id="70" w:name="_Toc26922"/>
      <w:bookmarkStart w:id="71" w:name="_Toc121626298"/>
      <w:bookmarkStart w:id="72" w:name="_Toc204594911"/>
      <w:bookmarkStart w:id="73" w:name="_Toc31518"/>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五、授权书</w:t>
      </w:r>
      <w:bookmarkEnd w:id="68"/>
      <w:bookmarkEnd w:id="69"/>
      <w:bookmarkEnd w:id="70"/>
      <w:bookmarkEnd w:id="71"/>
      <w:bookmarkEnd w:id="72"/>
      <w:bookmarkEnd w:id="73"/>
    </w:p>
    <w:p>
      <w:pPr>
        <w:spacing w:line="360" w:lineRule="auto"/>
        <w:jc w:val="center"/>
        <w:rPr>
          <w:rFonts w:asciiTheme="minorEastAsia" w:hAnsiTheme="minorEastAsia" w:eastAsiaTheme="minorEastAsia"/>
          <w:b/>
          <w:sz w:val="24"/>
        </w:rPr>
      </w:pPr>
    </w:p>
    <w:p>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7"/>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7"/>
        <w:snapToGrid w:val="0"/>
        <w:spacing w:line="360" w:lineRule="auto"/>
        <w:ind w:firstLine="480" w:firstLineChars="200"/>
        <w:jc w:val="left"/>
        <w:rPr>
          <w:rFonts w:hAnsi="宋体" w:eastAsia="宋体"/>
          <w:sz w:val="24"/>
          <w:szCs w:val="28"/>
        </w:rPr>
      </w:pPr>
    </w:p>
    <w:p>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pPr>
        <w:spacing w:line="360" w:lineRule="auto"/>
        <w:rPr>
          <w:rFonts w:ascii="宋体" w:hAnsi="宋体" w:eastAsia="宋体"/>
          <w:sz w:val="24"/>
          <w:szCs w:val="28"/>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spacing w:line="360" w:lineRule="auto"/>
        <w:rPr>
          <w:rFonts w:ascii="宋体" w:hAnsi="宋体" w:eastAsia="宋体"/>
          <w:sz w:val="24"/>
          <w:szCs w:val="28"/>
        </w:rPr>
      </w:pPr>
    </w:p>
    <w:p>
      <w:pPr>
        <w:spacing w:line="360" w:lineRule="auto"/>
        <w:rPr>
          <w:rFonts w:ascii="宋体" w:hAnsi="宋体" w:eastAsia="宋体"/>
          <w:sz w:val="24"/>
          <w:szCs w:val="28"/>
        </w:rPr>
      </w:pPr>
    </w:p>
    <w:p>
      <w:pPr>
        <w:pStyle w:val="7"/>
        <w:snapToGrid w:val="0"/>
        <w:spacing w:line="360" w:lineRule="auto"/>
        <w:jc w:val="left"/>
        <w:rPr>
          <w:rFonts w:hAnsi="宋体" w:eastAsia="宋体"/>
          <w:sz w:val="24"/>
          <w:szCs w:val="28"/>
        </w:rPr>
      </w:pPr>
      <w:r>
        <w:rPr>
          <w:rFonts w:hint="eastAsia" w:hAnsi="宋体" w:eastAsia="宋体"/>
          <w:sz w:val="24"/>
          <w:szCs w:val="28"/>
        </w:rPr>
        <w:t>注：</w:t>
      </w:r>
    </w:p>
    <w:p>
      <w:pPr>
        <w:pStyle w:val="7"/>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pPr>
        <w:spacing w:line="360" w:lineRule="auto"/>
        <w:jc w:val="left"/>
        <w:rPr>
          <w:rFonts w:hint="eastAsia" w:ascii="宋体" w:hAnsi="宋体" w:eastAsia="宋体"/>
          <w:sz w:val="24"/>
        </w:rPr>
      </w:pPr>
      <w:r>
        <w:rPr>
          <w:rFonts w:hint="eastAsia" w:ascii="宋体" w:hAnsi="宋体" w:eastAsia="宋体"/>
          <w:sz w:val="24"/>
        </w:rPr>
        <w:t>2.法定代表人参加磋商的无需提供授权书，仅提供身份证明扫描件。</w:t>
      </w:r>
    </w:p>
    <w:p>
      <w:pPr>
        <w:pStyle w:val="2"/>
        <w:rPr>
          <w:rFonts w:hint="eastAsia" w:ascii="宋体" w:hAnsi="宋体" w:eastAsia="宋体"/>
          <w:sz w:val="24"/>
        </w:rPr>
      </w:pPr>
    </w:p>
    <w:p>
      <w:pPr>
        <w:pStyle w:val="3"/>
        <w:rPr>
          <w:rFonts w:hint="eastAsia" w:ascii="宋体" w:hAnsi="宋体" w:eastAsia="宋体"/>
          <w:sz w:val="24"/>
        </w:rPr>
      </w:pPr>
    </w:p>
    <w:p>
      <w:pPr>
        <w:rPr>
          <w:rFonts w:hint="eastAsia" w:ascii="宋体" w:hAnsi="宋体" w:eastAsia="宋体"/>
          <w:sz w:val="24"/>
        </w:rPr>
      </w:pPr>
    </w:p>
    <w:p>
      <w:pPr>
        <w:pStyle w:val="2"/>
        <w:rPr>
          <w:rFonts w:hint="eastAsia" w:ascii="宋体" w:hAnsi="宋体" w:eastAsia="宋体"/>
          <w:sz w:val="24"/>
        </w:rPr>
      </w:pPr>
    </w:p>
    <w:p>
      <w:pPr>
        <w:pStyle w:val="3"/>
        <w:rPr>
          <w:rFonts w:hint="eastAsia" w:ascii="宋体" w:hAnsi="宋体" w:eastAsia="宋体"/>
          <w:sz w:val="24"/>
        </w:rPr>
      </w:pPr>
    </w:p>
    <w:p>
      <w:pPr>
        <w:rPr>
          <w:rFonts w:hint="eastAsia" w:ascii="宋体" w:hAnsi="宋体" w:eastAsia="宋体"/>
          <w:sz w:val="24"/>
        </w:rPr>
      </w:pPr>
    </w:p>
    <w:p>
      <w:pPr>
        <w:pStyle w:val="2"/>
        <w:rPr>
          <w:rFonts w:hint="eastAsia" w:ascii="宋体" w:hAnsi="宋体" w:eastAsia="宋体"/>
          <w:sz w:val="24"/>
        </w:rPr>
      </w:pPr>
    </w:p>
    <w:p>
      <w:pPr>
        <w:spacing w:line="360" w:lineRule="auto"/>
        <w:jc w:val="center"/>
        <w:outlineLvl w:val="1"/>
        <w:rPr>
          <w:rFonts w:asciiTheme="minorEastAsia" w:hAnsiTheme="minorEastAsia" w:eastAsiaTheme="minorEastAsia"/>
          <w:b/>
          <w:sz w:val="24"/>
        </w:rPr>
      </w:pPr>
      <w:bookmarkStart w:id="74" w:name="_Toc22233"/>
      <w:bookmarkStart w:id="75" w:name="_Toc28033"/>
      <w:r>
        <w:rPr>
          <w:rFonts w:hint="eastAsia" w:asciiTheme="minorEastAsia" w:hAnsiTheme="minorEastAsia" w:eastAsiaTheme="minorEastAsia"/>
          <w:b/>
          <w:sz w:val="24"/>
        </w:rPr>
        <w:t>六、商务响应表</w:t>
      </w:r>
      <w:bookmarkEnd w:id="74"/>
      <w:bookmarkEnd w:id="75"/>
    </w:p>
    <w:p>
      <w:pPr>
        <w:spacing w:line="360" w:lineRule="auto"/>
        <w:ind w:firstLine="435"/>
        <w:rPr>
          <w:rFonts w:asciiTheme="minorEastAsia" w:hAnsiTheme="minorEastAsia" w:eastAsiaTheme="minorEastAsia"/>
          <w:b/>
          <w:sz w:val="24"/>
        </w:rPr>
      </w:pP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04"/>
        <w:gridCol w:w="3496"/>
        <w:gridCol w:w="2188"/>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序号</w:t>
            </w:r>
          </w:p>
        </w:tc>
        <w:tc>
          <w:tcPr>
            <w:tcW w:w="1304" w:type="dxa"/>
            <w:vAlign w:val="center"/>
          </w:tcPr>
          <w:p>
            <w:pPr>
              <w:pStyle w:val="7"/>
              <w:jc w:val="center"/>
              <w:rPr>
                <w:rFonts w:cs="Wingdings" w:asciiTheme="minorEastAsia" w:hAnsiTheme="minorEastAsia"/>
                <w:b/>
                <w:sz w:val="24"/>
              </w:rPr>
            </w:pPr>
            <w:r>
              <w:rPr>
                <w:rFonts w:hint="eastAsia" w:asciiTheme="minorEastAsia" w:hAnsiTheme="minorEastAsia"/>
                <w:b/>
                <w:bCs/>
                <w:sz w:val="24"/>
                <w:szCs w:val="24"/>
              </w:rPr>
              <w:t>商务条款</w:t>
            </w:r>
          </w:p>
        </w:tc>
        <w:tc>
          <w:tcPr>
            <w:tcW w:w="3496"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磋商文件要求</w:t>
            </w:r>
          </w:p>
        </w:tc>
        <w:tc>
          <w:tcPr>
            <w:tcW w:w="2188"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atLeast"/>
          <w:jc w:val="center"/>
        </w:trPr>
        <w:tc>
          <w:tcPr>
            <w:tcW w:w="724"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1304" w:type="dxa"/>
            <w:vAlign w:val="center"/>
          </w:tcPr>
          <w:p>
            <w:pPr>
              <w:jc w:val="center"/>
              <w:rPr>
                <w:rFonts w:ascii="宋体" w:hAnsi="宋体" w:eastAsia="宋体"/>
                <w:sz w:val="24"/>
              </w:rPr>
            </w:pPr>
            <w:r>
              <w:rPr>
                <w:rFonts w:asciiTheme="minorEastAsia" w:hAnsiTheme="minorEastAsia" w:eastAsiaTheme="minorEastAsia"/>
                <w:sz w:val="24"/>
              </w:rPr>
              <w:t>付款方式</w:t>
            </w:r>
          </w:p>
        </w:tc>
        <w:tc>
          <w:tcPr>
            <w:tcW w:w="3496" w:type="dxa"/>
            <w:vAlign w:val="center"/>
          </w:tcPr>
          <w:p>
            <w:pPr>
              <w:jc w:val="left"/>
              <w:rPr>
                <w:rFonts w:hint="eastAsia" w:ascii="宋体" w:hAnsi="宋体" w:eastAsia="宋体" w:cs="@仿宋_GB2312"/>
                <w:b w:val="0"/>
                <w:bCs w:val="0"/>
                <w:color w:val="auto"/>
                <w:kern w:val="2"/>
                <w:sz w:val="24"/>
                <w:szCs w:val="18"/>
                <w:u w:val="none"/>
                <w:lang w:val="en-US" w:eastAsia="zh-CN" w:bidi="ar-SA"/>
              </w:rPr>
            </w:pPr>
            <w:r>
              <w:rPr>
                <w:rFonts w:hint="eastAsia" w:ascii="宋体" w:hAnsi="宋体" w:eastAsia="宋体" w:cs="宋体"/>
                <w:color w:val="auto"/>
                <w:sz w:val="24"/>
                <w:szCs w:val="24"/>
                <w:lang w:val="en-US" w:eastAsia="zh-CN"/>
              </w:rPr>
              <w:t>合同签订至项目完成且经院方验收完毕正常使用后支付维修费用的95%，余款5%作为质保金，质保期满后一次性无息付清。供应商付款前提供合同、正规票据及验收单等材料。</w:t>
            </w:r>
          </w:p>
        </w:tc>
        <w:tc>
          <w:tcPr>
            <w:tcW w:w="2188" w:type="dxa"/>
            <w:vAlign w:val="center"/>
          </w:tcPr>
          <w:p>
            <w:pPr>
              <w:jc w:val="left"/>
              <w:rPr>
                <w:rFonts w:hint="eastAsia" w:ascii="宋体" w:hAnsi="宋体" w:eastAsia="宋体" w:cs="@仿宋_GB2312"/>
                <w:b w:val="0"/>
                <w:bCs w:val="0"/>
                <w:color w:val="auto"/>
                <w:kern w:val="2"/>
                <w:sz w:val="24"/>
                <w:szCs w:val="18"/>
                <w:u w:val="none"/>
                <w:lang w:val="en-US" w:eastAsia="zh-CN" w:bidi="ar-SA"/>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304" w:type="dxa"/>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服务地点</w:t>
            </w:r>
          </w:p>
        </w:tc>
        <w:tc>
          <w:tcPr>
            <w:tcW w:w="3496" w:type="dxa"/>
            <w:vAlign w:val="center"/>
          </w:tcPr>
          <w:p>
            <w:pPr>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长丰县人民医院</w:t>
            </w:r>
          </w:p>
        </w:tc>
        <w:tc>
          <w:tcPr>
            <w:tcW w:w="2188"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304" w:type="dxa"/>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合同履行</w:t>
            </w:r>
            <w:r>
              <w:rPr>
                <w:rFonts w:hint="eastAsia" w:asciiTheme="minorEastAsia" w:hAnsiTheme="minorEastAsia" w:eastAsiaTheme="minorEastAsia"/>
                <w:sz w:val="24"/>
              </w:rPr>
              <w:t>期限</w:t>
            </w:r>
          </w:p>
        </w:tc>
        <w:tc>
          <w:tcPr>
            <w:tcW w:w="3496" w:type="dxa"/>
            <w:vAlign w:val="center"/>
          </w:tcPr>
          <w:p>
            <w:pPr>
              <w:jc w:val="left"/>
              <w:rPr>
                <w:rFonts w:hint="eastAsia" w:asciiTheme="minorEastAsia" w:hAnsiTheme="minorEastAsia" w:eastAsiaTheme="minorEastAsia"/>
                <w:sz w:val="24"/>
              </w:rPr>
            </w:pPr>
            <w:r>
              <w:rPr>
                <w:rFonts w:hint="eastAsia" w:ascii="宋体" w:hAnsi="宋体" w:eastAsia="宋体" w:cs="@仿宋_GB2312"/>
                <w:b w:val="0"/>
                <w:bCs w:val="0"/>
                <w:color w:val="auto"/>
                <w:kern w:val="2"/>
                <w:sz w:val="24"/>
                <w:szCs w:val="18"/>
                <w:u w:val="none"/>
                <w:lang w:val="en-US" w:eastAsia="zh-CN" w:bidi="ar-SA"/>
              </w:rPr>
              <w:t>合同签订后7天内完成，空压管道对接质保2年</w:t>
            </w:r>
          </w:p>
        </w:tc>
        <w:tc>
          <w:tcPr>
            <w:tcW w:w="2188" w:type="dxa"/>
            <w:vAlign w:val="center"/>
          </w:tcPr>
          <w:p>
            <w:pPr>
              <w:pStyle w:val="22"/>
              <w:jc w:val="center"/>
              <w:rPr>
                <w:rFonts w:asciiTheme="minorEastAsia" w:hAnsiTheme="minorEastAsia" w:eastAsiaTheme="minorEastAsia"/>
              </w:rPr>
            </w:pPr>
          </w:p>
        </w:tc>
        <w:tc>
          <w:tcPr>
            <w:tcW w:w="810" w:type="dxa"/>
            <w:vAlign w:val="center"/>
          </w:tcPr>
          <w:p>
            <w:pPr>
              <w:jc w:val="center"/>
              <w:rPr>
                <w:rFonts w:asciiTheme="minorEastAsia" w:hAnsiTheme="minorEastAsia" w:eastAsiaTheme="minorEastAsia"/>
                <w:sz w:val="24"/>
              </w:rPr>
            </w:pPr>
          </w:p>
        </w:tc>
      </w:tr>
    </w:tbl>
    <w:p>
      <w:pPr>
        <w:pStyle w:val="3"/>
        <w:ind w:left="0" w:leftChars="0" w:firstLine="0" w:firstLineChars="0"/>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供应商承诺</w:t>
      </w:r>
    </w:p>
    <w:p>
      <w:pPr>
        <w:spacing w:line="360" w:lineRule="auto"/>
        <w:rPr>
          <w:rFonts w:hint="eastAsia" w:ascii="宋体" w:hAnsi="宋体" w:eastAsia="宋体" w:cstheme="minorBidi"/>
          <w:kern w:val="2"/>
          <w:sz w:val="24"/>
          <w:szCs w:val="28"/>
          <w:lang w:val="en-US" w:eastAsia="zh-CN" w:bidi="ar-SA"/>
        </w:rPr>
      </w:pP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针对磋商文件服务需求中的所有条款，我单位承诺完全满足（或优于）磋商</w:t>
      </w: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文件要求，如履约验收期间所提供的服务不满足磋商文件要求，我单位承担由此产生的一切后果及责任。</w:t>
      </w:r>
    </w:p>
    <w:p>
      <w:pPr>
        <w:spacing w:line="360" w:lineRule="auto"/>
        <w:ind w:firstLine="4800" w:firstLineChars="2000"/>
        <w:rPr>
          <w:rFonts w:hint="eastAsia" w:ascii="宋体" w:hAnsi="宋体" w:eastAsia="宋体" w:cstheme="minorBidi"/>
          <w:kern w:val="2"/>
          <w:sz w:val="24"/>
          <w:szCs w:val="28"/>
          <w:lang w:val="en-US" w:eastAsia="zh-CN" w:bidi="ar-SA"/>
        </w:rPr>
      </w:pP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供应商公章：</w:t>
      </w: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日      期：</w:t>
      </w:r>
    </w:p>
    <w:p>
      <w:pPr>
        <w:pStyle w:val="5"/>
      </w:pPr>
    </w:p>
    <w:p>
      <w:pPr>
        <w:widowControl/>
        <w:jc w:val="center"/>
        <w:rPr>
          <w:rFonts w:hint="eastAsia" w:asciiTheme="minorEastAsia" w:hAnsiTheme="minorEastAsia" w:eastAsiaTheme="minorEastAsia"/>
          <w:b/>
          <w:sz w:val="24"/>
        </w:rPr>
      </w:pPr>
      <w:bookmarkStart w:id="76" w:name="_Toc2278"/>
      <w:bookmarkStart w:id="77" w:name="_Hlk44283088"/>
      <w:bookmarkStart w:id="78" w:name="_Toc20592"/>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bookmarkEnd w:id="76"/>
    <w:bookmarkEnd w:id="77"/>
    <w:bookmarkEnd w:id="78"/>
    <w:p>
      <w:pPr>
        <w:spacing w:line="360" w:lineRule="auto"/>
        <w:jc w:val="center"/>
        <w:outlineLvl w:val="1"/>
        <w:rPr>
          <w:rFonts w:hint="eastAsia" w:asciiTheme="minorEastAsia" w:hAnsiTheme="minorEastAsia" w:eastAsiaTheme="minorEastAsia"/>
          <w:b/>
          <w:sz w:val="24"/>
          <w:lang w:val="en-US" w:eastAsia="zh-CN"/>
        </w:rPr>
      </w:pPr>
      <w:bookmarkStart w:id="79" w:name="_Toc7807"/>
      <w:bookmarkStart w:id="80" w:name="_Toc3826"/>
      <w:r>
        <w:rPr>
          <w:rFonts w:hint="eastAsia" w:asciiTheme="minorEastAsia" w:hAnsiTheme="minorEastAsia" w:eastAsiaTheme="minorEastAsia"/>
          <w:b/>
          <w:sz w:val="24"/>
          <w:lang w:val="en-US" w:eastAsia="zh-CN"/>
        </w:rPr>
        <w:t>八、无重大违法记录声明函、无不良信用记录声明函</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公</w:t>
      </w:r>
      <w:r>
        <w:rPr>
          <w:rFonts w:hint="eastAsia" w:asciiTheme="minorEastAsia" w:hAnsiTheme="minorEastAsia" w:eastAsiaTheme="minorEastAsia" w:cstheme="minorEastAsia"/>
          <w:color w:val="000000"/>
          <w:kern w:val="0"/>
          <w:sz w:val="24"/>
          <w:szCs w:val="24"/>
          <w:lang w:bidi="ar"/>
        </w:rPr>
        <w:t>章：</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both"/>
        <w:rPr>
          <w:rFonts w:hint="eastAsia" w:asciiTheme="minorEastAsia" w:hAnsiTheme="minorEastAsia" w:eastAsiaTheme="minorEastAsia"/>
          <w:b/>
          <w:sz w:val="24"/>
          <w:lang w:val="en-US" w:eastAsia="zh-CN"/>
        </w:rPr>
      </w:pPr>
    </w:p>
    <w:p>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诚信履约承诺函</w:t>
      </w:r>
    </w:p>
    <w:p>
      <w:pPr>
        <w:spacing w:line="360" w:lineRule="auto"/>
        <w:rPr>
          <w:rFonts w:asciiTheme="minorEastAsia" w:hAnsiTheme="minorEastAsia" w:eastAsiaTheme="minorEastAsia"/>
          <w:b/>
          <w:bCs/>
          <w:sz w:val="24"/>
        </w:rPr>
      </w:pPr>
    </w:p>
    <w:p>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（3）将采购合同转包；</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sz w:val="24"/>
        </w:rPr>
      </w:pPr>
    </w:p>
    <w:p>
      <w:pPr>
        <w:spacing w:line="360" w:lineRule="auto"/>
        <w:rPr>
          <w:rFonts w:asciiTheme="minorEastAsia" w:hAnsiTheme="minorEastAsia" w:eastAsiaTheme="minorEastAsia"/>
          <w:bCs/>
          <w:sz w:val="24"/>
        </w:rPr>
      </w:pPr>
    </w:p>
    <w:p>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w:t>
      </w:r>
      <w:r>
        <w:rPr>
          <w:rFonts w:hint="eastAsia" w:asciiTheme="minorEastAsia" w:hAnsiTheme="minorEastAsia" w:eastAsiaTheme="minorEastAsia"/>
          <w:bCs/>
          <w:sz w:val="24"/>
          <w:lang w:val="en-US" w:eastAsia="zh-CN"/>
        </w:rPr>
        <w:t>公</w:t>
      </w:r>
      <w:r>
        <w:rPr>
          <w:rFonts w:hint="eastAsia" w:asciiTheme="minorEastAsia" w:hAnsiTheme="minorEastAsia" w:eastAsiaTheme="minorEastAsia"/>
          <w:bCs/>
          <w:sz w:val="24"/>
        </w:rPr>
        <w:t>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w:t>
      </w:r>
      <w:bookmarkEnd w:id="79"/>
      <w:bookmarkEnd w:id="80"/>
      <w:r>
        <w:rPr>
          <w:rFonts w:hint="eastAsia" w:asciiTheme="minorEastAsia" w:hAnsiTheme="minorEastAsia" w:eastAsiaTheme="minorEastAsia"/>
          <w:b/>
          <w:sz w:val="24"/>
          <w:lang w:val="en-US" w:eastAsia="zh-CN"/>
        </w:rPr>
        <w:t>营业执照等证明材料</w:t>
      </w:r>
    </w:p>
    <w:p>
      <w:pPr>
        <w:spacing w:line="360" w:lineRule="auto"/>
        <w:jc w:val="center"/>
        <w:rPr>
          <w:rFonts w:hint="eastAsia" w:asciiTheme="minorEastAsia" w:hAnsiTheme="minorEastAsia" w:eastAsiaTheme="minorEastAsia"/>
          <w:b/>
          <w:sz w:val="24"/>
          <w:lang w:val="en-US" w:eastAsia="zh-CN"/>
        </w:rPr>
      </w:pPr>
      <w:bookmarkStart w:id="81" w:name="_Toc63440924"/>
      <w:bookmarkStart w:id="82" w:name="_Toc19418"/>
      <w:r>
        <w:rPr>
          <w:rFonts w:hint="eastAsia" w:asciiTheme="minorEastAsia" w:hAnsiTheme="minorEastAsia" w:eastAsiaTheme="minorEastAsia"/>
          <w:b/>
          <w:sz w:val="24"/>
          <w:lang w:val="en-US" w:eastAsia="zh-CN"/>
        </w:rPr>
        <w:t>十一、项目分析方案</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十二、服务方案</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十三、设备设施</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十四、应急措施</w:t>
      </w:r>
    </w:p>
    <w:p>
      <w:pPr>
        <w:spacing w:line="360" w:lineRule="auto"/>
        <w:jc w:val="cente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十五、人员配备方案</w:t>
      </w:r>
    </w:p>
    <w:p>
      <w:pPr>
        <w:spacing w:line="360" w:lineRule="auto"/>
        <w:jc w:val="cente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十六、项目实施计划</w:t>
      </w:r>
    </w:p>
    <w:p>
      <w:pPr>
        <w:spacing w:line="360" w:lineRule="auto"/>
        <w:jc w:val="center"/>
        <w:rPr>
          <w:rFonts w:hint="eastAsia" w:asciiTheme="minorEastAsia" w:hAnsiTheme="minorEastAsia" w:eastAsiaTheme="minorEastAsia"/>
          <w:b/>
          <w:sz w:val="24"/>
          <w:lang w:val="zh-CN" w:eastAsia="zh-CN"/>
        </w:rPr>
      </w:pPr>
      <w:r>
        <w:rPr>
          <w:rFonts w:hint="eastAsia" w:asciiTheme="minorEastAsia" w:hAnsiTheme="minorEastAsia" w:eastAsiaTheme="minorEastAsia"/>
          <w:b/>
          <w:sz w:val="24"/>
          <w:lang w:val="en-US" w:eastAsia="zh-CN"/>
        </w:rPr>
        <w:t>十七、安全运行方案</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十八、供应商业绩</w:t>
      </w: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81"/>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82"/>
    </w:p>
    <w:p>
      <w:pPr>
        <w:spacing w:line="360" w:lineRule="auto"/>
        <w:jc w:val="center"/>
        <w:outlineLvl w:val="1"/>
        <w:rPr>
          <w:rFonts w:ascii="仿宋" w:hAnsi="仿宋" w:eastAsia="仿宋" w:cs="仿宋"/>
          <w:b/>
          <w:bCs/>
          <w:sz w:val="32"/>
          <w:szCs w:val="44"/>
        </w:rPr>
      </w:pPr>
      <w:bookmarkStart w:id="83" w:name="_Toc2142"/>
      <w:bookmarkStart w:id="84" w:name="_Toc8735"/>
      <w:r>
        <w:rPr>
          <w:rFonts w:hint="eastAsia" w:ascii="仿宋" w:hAnsi="仿宋" w:eastAsia="仿宋" w:cs="仿宋"/>
          <w:b/>
          <w:bCs/>
          <w:sz w:val="32"/>
          <w:szCs w:val="44"/>
        </w:rPr>
        <w:t>询问函范本</w:t>
      </w:r>
      <w:bookmarkEnd w:id="83"/>
      <w:bookmarkEnd w:id="84"/>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5" w:name="_Toc26386"/>
      <w:bookmarkStart w:id="86" w:name="_Toc9092"/>
      <w:r>
        <w:rPr>
          <w:rFonts w:hint="eastAsia" w:cs="仿宋" w:asciiTheme="minorEastAsia" w:hAnsiTheme="minorEastAsia" w:eastAsiaTheme="minorEastAsia"/>
          <w:sz w:val="24"/>
          <w:szCs w:val="24"/>
        </w:rPr>
        <w:t>一、(事项一)</w:t>
      </w:r>
      <w:bookmarkEnd w:id="85"/>
      <w:bookmarkEnd w:id="86"/>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7" w:name="_Toc17582"/>
      <w:bookmarkStart w:id="88" w:name="_Toc9273"/>
      <w:r>
        <w:rPr>
          <w:rFonts w:hint="eastAsia" w:cs="仿宋" w:asciiTheme="minorEastAsia" w:hAnsiTheme="minorEastAsia" w:eastAsiaTheme="minorEastAsia"/>
          <w:sz w:val="24"/>
          <w:szCs w:val="24"/>
        </w:rPr>
        <w:t>二、(事项二)</w:t>
      </w:r>
      <w:bookmarkEnd w:id="87"/>
      <w:bookmarkEnd w:id="88"/>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rPr>
          <w:rFonts w:asciiTheme="minorEastAsia" w:hAnsiTheme="minorEastAsia" w:eastAsiaTheme="minorEastAsia"/>
          <w:b/>
          <w:sz w:val="52"/>
        </w:rPr>
      </w:pPr>
      <w:r>
        <w:rPr>
          <w:rFonts w:hint="eastAsia" w:ascii="仿宋" w:hAnsi="仿宋" w:eastAsia="仿宋" w:cs="仿宋"/>
          <w:b/>
          <w:bCs/>
          <w:sz w:val="32"/>
          <w:szCs w:val="44"/>
        </w:rPr>
        <w:br w:type="page"/>
      </w:r>
    </w:p>
    <w:p>
      <w:pPr>
        <w:jc w:val="center"/>
        <w:outlineLvl w:val="1"/>
        <w:rPr>
          <w:rFonts w:ascii="仿宋" w:hAnsi="仿宋" w:eastAsia="仿宋" w:cs="仿宋"/>
          <w:b/>
          <w:bCs/>
          <w:sz w:val="32"/>
          <w:szCs w:val="44"/>
        </w:rPr>
      </w:pPr>
      <w:bookmarkStart w:id="89" w:name="_Toc26673"/>
      <w:bookmarkStart w:id="90" w:name="_Toc6990"/>
      <w:r>
        <w:rPr>
          <w:rFonts w:hint="eastAsia" w:ascii="仿宋" w:hAnsi="仿宋" w:eastAsia="仿宋" w:cs="仿宋"/>
          <w:b/>
          <w:bCs/>
          <w:sz w:val="32"/>
          <w:szCs w:val="44"/>
        </w:rPr>
        <w:t>质疑函范本</w:t>
      </w:r>
      <w:bookmarkEnd w:id="89"/>
      <w:bookmarkEnd w:id="90"/>
    </w:p>
    <w:p>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91" w:name="_Toc2994"/>
      <w:bookmarkStart w:id="92" w:name="_Toc29510"/>
      <w:r>
        <w:rPr>
          <w:rFonts w:hint="eastAsia" w:cs="仿宋" w:asciiTheme="minorEastAsia" w:hAnsiTheme="minorEastAsia" w:eastAsiaTheme="minorEastAsia"/>
          <w:b/>
          <w:bCs/>
          <w:sz w:val="24"/>
          <w:szCs w:val="24"/>
        </w:rPr>
        <w:t>一、质疑供应商基本信息</w:t>
      </w:r>
      <w:bookmarkEnd w:id="91"/>
      <w:bookmarkEnd w:id="92"/>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3" w:name="_Toc28130"/>
      <w:bookmarkStart w:id="94" w:name="_Toc31042"/>
      <w:r>
        <w:rPr>
          <w:rFonts w:hint="eastAsia" w:cs="仿宋" w:asciiTheme="minorEastAsia" w:hAnsiTheme="minorEastAsia" w:eastAsiaTheme="minorEastAsia"/>
          <w:b/>
          <w:bCs/>
          <w:sz w:val="24"/>
          <w:szCs w:val="24"/>
        </w:rPr>
        <w:t>二、质疑项目基本情况</w:t>
      </w:r>
      <w:bookmarkEnd w:id="93"/>
      <w:bookmarkEnd w:id="94"/>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5" w:name="_Toc6486"/>
      <w:bookmarkStart w:id="96" w:name="_Toc20587"/>
      <w:r>
        <w:rPr>
          <w:rFonts w:hint="eastAsia" w:cs="仿宋" w:asciiTheme="minorEastAsia" w:hAnsiTheme="minorEastAsia" w:eastAsiaTheme="minorEastAsia"/>
          <w:b/>
          <w:bCs/>
          <w:sz w:val="24"/>
          <w:szCs w:val="24"/>
        </w:rPr>
        <w:t>三、质疑事项具体内容</w:t>
      </w:r>
      <w:bookmarkEnd w:id="95"/>
      <w:bookmarkEnd w:id="96"/>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outlineLvl w:val="1"/>
        <w:rPr>
          <w:rFonts w:cs="仿宋" w:asciiTheme="minorEastAsia" w:hAnsiTheme="minorEastAsia" w:eastAsiaTheme="minorEastAsia"/>
          <w:b/>
          <w:bCs/>
          <w:sz w:val="24"/>
          <w:szCs w:val="24"/>
        </w:rPr>
      </w:pPr>
      <w:bookmarkStart w:id="97" w:name="_Toc32755"/>
      <w:bookmarkStart w:id="98" w:name="_Toc20470"/>
      <w:r>
        <w:rPr>
          <w:rFonts w:hint="eastAsia" w:cs="仿宋" w:asciiTheme="minorEastAsia" w:hAnsiTheme="minorEastAsia" w:eastAsiaTheme="minorEastAsia"/>
          <w:b/>
          <w:bCs/>
          <w:sz w:val="24"/>
          <w:szCs w:val="24"/>
        </w:rPr>
        <w:t>四、与质疑事项相关的质疑请求</w:t>
      </w:r>
      <w:bookmarkEnd w:id="97"/>
      <w:bookmarkEnd w:id="98"/>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pPr>
        <w:widowControl/>
        <w:jc w:val="left"/>
        <w:rPr>
          <w:rFonts w:ascii="仿宋" w:hAnsi="仿宋" w:eastAsia="仿宋" w:cs="仿宋"/>
          <w:sz w:val="32"/>
          <w:szCs w:val="32"/>
        </w:rPr>
      </w:pPr>
      <w:r>
        <w:rPr>
          <w:rFonts w:ascii="仿宋" w:hAnsi="仿宋" w:eastAsia="仿宋" w:cs="仿宋"/>
          <w:sz w:val="32"/>
          <w:szCs w:val="32"/>
        </w:rPr>
        <w:br w:type="page"/>
      </w:r>
    </w:p>
    <w:p>
      <w:pPr>
        <w:outlineLvl w:val="0"/>
        <w:rPr>
          <w:rFonts w:asciiTheme="minorEastAsia" w:hAnsiTheme="minorEastAsia" w:eastAsiaTheme="minorEastAsia"/>
          <w:b/>
          <w:sz w:val="28"/>
          <w:szCs w:val="32"/>
        </w:rPr>
      </w:pPr>
      <w:bookmarkStart w:id="99" w:name="_Toc21667"/>
      <w:bookmarkStart w:id="100" w:name="_Toc8368"/>
      <w:r>
        <w:rPr>
          <w:rFonts w:hint="eastAsia" w:asciiTheme="minorEastAsia" w:hAnsiTheme="minorEastAsia" w:eastAsiaTheme="minorEastAsia"/>
          <w:b/>
          <w:sz w:val="28"/>
          <w:szCs w:val="32"/>
        </w:rPr>
        <w:t>质疑函制作说明：</w:t>
      </w:r>
      <w:bookmarkEnd w:id="99"/>
      <w:bookmarkEnd w:id="10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2"/>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D5F70"/>
    <w:multiLevelType w:val="singleLevel"/>
    <w:tmpl w:val="890D5F70"/>
    <w:lvl w:ilvl="0" w:tentative="0">
      <w:start w:val="2"/>
      <w:numFmt w:val="chineseCounting"/>
      <w:suff w:val="nothing"/>
      <w:lvlText w:val="%1、"/>
      <w:lvlJc w:val="left"/>
      <w:rPr>
        <w:rFonts w:hint="eastAsia"/>
      </w:rPr>
    </w:lvl>
  </w:abstractNum>
  <w:abstractNum w:abstractNumId="1">
    <w:nsid w:val="443F53E2"/>
    <w:multiLevelType w:val="singleLevel"/>
    <w:tmpl w:val="443F53E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62AF4"/>
    <w:rsid w:val="0BB231F8"/>
    <w:rsid w:val="0C7F20A9"/>
    <w:rsid w:val="0F1B1C40"/>
    <w:rsid w:val="10F84208"/>
    <w:rsid w:val="12FA564F"/>
    <w:rsid w:val="13246508"/>
    <w:rsid w:val="143350F2"/>
    <w:rsid w:val="19B427D8"/>
    <w:rsid w:val="1A4C56BC"/>
    <w:rsid w:val="1B9320C8"/>
    <w:rsid w:val="1EEC583B"/>
    <w:rsid w:val="1FBE6114"/>
    <w:rsid w:val="218704A5"/>
    <w:rsid w:val="22707203"/>
    <w:rsid w:val="24FE561C"/>
    <w:rsid w:val="24FF7457"/>
    <w:rsid w:val="27117B07"/>
    <w:rsid w:val="282A34D3"/>
    <w:rsid w:val="29123DC9"/>
    <w:rsid w:val="2C996CA0"/>
    <w:rsid w:val="2CE907DB"/>
    <w:rsid w:val="2CF7216B"/>
    <w:rsid w:val="2D4A7986"/>
    <w:rsid w:val="2E054E7B"/>
    <w:rsid w:val="2E131047"/>
    <w:rsid w:val="2F205005"/>
    <w:rsid w:val="30740A98"/>
    <w:rsid w:val="33556D8B"/>
    <w:rsid w:val="33FE6532"/>
    <w:rsid w:val="34A65087"/>
    <w:rsid w:val="35362A5A"/>
    <w:rsid w:val="39BD6168"/>
    <w:rsid w:val="3ED56EF4"/>
    <w:rsid w:val="42E217C3"/>
    <w:rsid w:val="4536675C"/>
    <w:rsid w:val="471F11AF"/>
    <w:rsid w:val="48B021E7"/>
    <w:rsid w:val="4A166D07"/>
    <w:rsid w:val="4B545EB8"/>
    <w:rsid w:val="4C934C02"/>
    <w:rsid w:val="52CF2B35"/>
    <w:rsid w:val="52EF5E1F"/>
    <w:rsid w:val="532A1303"/>
    <w:rsid w:val="544270B9"/>
    <w:rsid w:val="58512979"/>
    <w:rsid w:val="5D144E25"/>
    <w:rsid w:val="5D5D0D24"/>
    <w:rsid w:val="5D7024F8"/>
    <w:rsid w:val="5E093B1F"/>
    <w:rsid w:val="5E392ABC"/>
    <w:rsid w:val="62B74783"/>
    <w:rsid w:val="649E543A"/>
    <w:rsid w:val="679D068C"/>
    <w:rsid w:val="690A7975"/>
    <w:rsid w:val="6A052B36"/>
    <w:rsid w:val="6E193DAF"/>
    <w:rsid w:val="6F3B5FB6"/>
    <w:rsid w:val="7149392E"/>
    <w:rsid w:val="7353295B"/>
    <w:rsid w:val="74C962EC"/>
    <w:rsid w:val="75A5531C"/>
    <w:rsid w:val="75F60388"/>
    <w:rsid w:val="764F4A9D"/>
    <w:rsid w:val="76B77CC2"/>
    <w:rsid w:val="77104AF0"/>
    <w:rsid w:val="775E2244"/>
    <w:rsid w:val="78DE299B"/>
    <w:rsid w:val="78F75F6C"/>
    <w:rsid w:val="7AC00975"/>
    <w:rsid w:val="7B503D8D"/>
    <w:rsid w:val="7B8C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after="120" w:line="377" w:lineRule="auto"/>
      <w:outlineLvl w:val="3"/>
    </w:pPr>
    <w:rPr>
      <w:rFonts w:ascii="Arial" w:hAnsi="Arial" w:eastAsia="黑体"/>
      <w:b/>
      <w:bCs/>
      <w:sz w:val="72"/>
      <w:szCs w:val="28"/>
      <w:lang w:bidi="he-I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xl31"/>
    <w:basedOn w:val="1"/>
    <w:qFormat/>
    <w:uiPriority w:val="0"/>
    <w:pPr>
      <w:widowControl/>
      <w:spacing w:before="100" w:beforeAutospacing="1" w:after="100" w:afterAutospacing="1"/>
      <w:jc w:val="center"/>
    </w:pPr>
    <w:rPr>
      <w:b/>
      <w:bCs/>
      <w:kern w:val="0"/>
      <w:sz w:val="28"/>
      <w:szCs w:val="28"/>
    </w:rPr>
  </w:style>
  <w:style w:type="paragraph" w:customStyle="1" w:styleId="1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纯文本1"/>
    <w:basedOn w:val="1"/>
    <w:qFormat/>
    <w:uiPriority w:val="0"/>
    <w:rPr>
      <w:rFonts w:ascii="Arial" w:hAnsi="Arial" w:eastAsia="Arial" w:cstheme="minorBidi"/>
    </w:rPr>
  </w:style>
  <w:style w:type="paragraph" w:customStyle="1" w:styleId="22">
    <w:name w:val="Char Char Char Char Char Char Char1 Char"/>
    <w:basedOn w:val="1"/>
    <w:qFormat/>
    <w:uiPriority w:val="0"/>
    <w:rPr>
      <w:rFonts w:ascii="Arial" w:hAnsi="Arial" w:eastAsia="宋体" w:cs="Arial"/>
      <w:sz w:val="24"/>
    </w:rPr>
  </w:style>
  <w:style w:type="table" w:customStyle="1" w:styleId="23">
    <w:name w:val="网格型2"/>
    <w:basedOn w:val="1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4229</Words>
  <Characters>4467</Characters>
  <Lines>0</Lines>
  <Paragraphs>0</Paragraphs>
  <TotalTime>15</TotalTime>
  <ScaleCrop>false</ScaleCrop>
  <LinksUpToDate>false</LinksUpToDate>
  <CharactersWithSpaces>4603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2024-07-02T02:05:00Z</dcterms:created>
  <dc:creator>医学工程科</dc:creator>
  <cp:lastModifiedBy>慧</cp:lastModifiedBy>
  <dcterms:modified xsi:type="dcterms:W3CDTF">2026-05-26T08:01:53Z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7FCF36BE26E54A898F6C9E8DCF573000</vt:lpwstr>
  </property>
  <property fmtid="{D5CDD505-2E9C-101B-9397-08002B2CF9AE}" pid="4" name="KSOTemplateDocerSaveRecord">
    <vt:lpwstr>eyJoZGlkIjoiNDA0M2ZhMDcwNjI0ZTFjMDlhNTJlOWZhMmE3N2M2NTciLCJ1c2VySWQiOiI1MjIxNjkwNDMifQ==</vt:lpwstr>
  </property>
</Properties>
</file>